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F8F9A" w14:textId="2055CC5D" w:rsidR="00D16B17" w:rsidRDefault="00D16B17" w:rsidP="004A3E68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6818FEA" wp14:editId="306B52D7">
            <wp:extent cx="5905500" cy="1117600"/>
            <wp:effectExtent l="0" t="0" r="12700" b="0"/>
            <wp:docPr id="1" name="Picture 1" descr="Macintosh HD:Users:gracechimene:Desktop:2018 logos LWV :LWVTX Logo:LWVTX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acechimene:Desktop:2018 logos LWV :LWVTX Logo:LWVTX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9ABC1" w14:textId="7BD098B4" w:rsidR="004A3E68" w:rsidRPr="00D93585" w:rsidRDefault="004A3E68" w:rsidP="00D93585">
      <w:pPr>
        <w:jc w:val="center"/>
        <w:rPr>
          <w:rFonts w:ascii="Garamond" w:hAnsi="Garamond"/>
          <w:b/>
          <w:sz w:val="28"/>
          <w:szCs w:val="28"/>
        </w:rPr>
      </w:pPr>
      <w:r w:rsidRPr="00D93585">
        <w:rPr>
          <w:rFonts w:ascii="Garamond" w:hAnsi="Garamond"/>
          <w:b/>
          <w:sz w:val="28"/>
          <w:szCs w:val="28"/>
        </w:rPr>
        <w:t>EMINENT DOMAIN</w:t>
      </w:r>
    </w:p>
    <w:p w14:paraId="599ED67D" w14:textId="77777777" w:rsidR="004A3E68" w:rsidRPr="00D93585" w:rsidRDefault="004A3E68" w:rsidP="004A3E68">
      <w:pPr>
        <w:jc w:val="center"/>
        <w:rPr>
          <w:rFonts w:ascii="Garamond" w:hAnsi="Garamond"/>
          <w:sz w:val="16"/>
          <w:szCs w:val="16"/>
        </w:rPr>
      </w:pPr>
    </w:p>
    <w:p w14:paraId="5F6889BA" w14:textId="77777777" w:rsidR="00D93585" w:rsidRPr="00D93585" w:rsidRDefault="00D93585" w:rsidP="00D93585">
      <w:pPr>
        <w:shd w:val="clear" w:color="auto" w:fill="FFFFFF"/>
        <w:rPr>
          <w:rFonts w:ascii="Garamond" w:eastAsia="Times New Roman" w:hAnsi="Garamond" w:cs="Arial"/>
          <w:i/>
          <w:color w:val="222222"/>
          <w:sz w:val="20"/>
          <w:szCs w:val="20"/>
        </w:rPr>
      </w:pPr>
      <w:r w:rsidRPr="00D93585">
        <w:rPr>
          <w:rFonts w:ascii="Garamond" w:eastAsia="Times New Roman" w:hAnsi="Garamond" w:cs="Times New Roman"/>
          <w:i/>
          <w:color w:val="222222"/>
          <w:sz w:val="20"/>
          <w:szCs w:val="20"/>
          <w:shd w:val="clear" w:color="auto" w:fill="FFFFFF"/>
        </w:rPr>
        <w:t xml:space="preserve">The League of Women Voters of Texas supports a comprehensive state land use policy to provide for the orderly development of the state and </w:t>
      </w:r>
      <w:r w:rsidRPr="00D93585">
        <w:rPr>
          <w:rFonts w:ascii="Garamond" w:eastAsia="Times New Roman" w:hAnsi="Garamond" w:cs="Arial"/>
          <w:i/>
          <w:color w:val="222222"/>
          <w:sz w:val="20"/>
          <w:szCs w:val="20"/>
        </w:rPr>
        <w:t>protection of the traditional rights of ownership of property, but in conflicts between private interest and public welfare, precedence should be given to the public interest</w:t>
      </w:r>
    </w:p>
    <w:p w14:paraId="0C7F1C04" w14:textId="76837493" w:rsidR="00D93585" w:rsidRPr="00D93585" w:rsidRDefault="00D93585" w:rsidP="004A3E68">
      <w:pPr>
        <w:rPr>
          <w:rFonts w:ascii="Garamond" w:hAnsi="Garamond"/>
        </w:rPr>
      </w:pPr>
    </w:p>
    <w:p w14:paraId="75949F8D" w14:textId="32434883" w:rsidR="004A3E68" w:rsidRPr="00D93585" w:rsidRDefault="004A3E68" w:rsidP="004A3E68">
      <w:pPr>
        <w:rPr>
          <w:rFonts w:ascii="Garamond" w:hAnsi="Garamond"/>
          <w:b/>
        </w:rPr>
      </w:pPr>
      <w:r w:rsidRPr="00D93585">
        <w:rPr>
          <w:rFonts w:ascii="Garamond" w:hAnsi="Garamond"/>
        </w:rPr>
        <w:t xml:space="preserve">Eminent domain is the power of government or someone acting under the power of the government to take private property and convert it to public use.  Article V of the US Constitution says that government may only exercise this power if it provides just compensation to the property owner.  Condemnation describes the act to transfer the property from </w:t>
      </w:r>
      <w:r w:rsidR="00AD7AA4" w:rsidRPr="00D93585">
        <w:rPr>
          <w:rFonts w:ascii="Garamond" w:hAnsi="Garamond"/>
        </w:rPr>
        <w:t>a</w:t>
      </w:r>
      <w:r w:rsidRPr="00D93585">
        <w:rPr>
          <w:rFonts w:ascii="Garamond" w:hAnsi="Garamond"/>
        </w:rPr>
        <w:t xml:space="preserve"> private owner to the government.</w:t>
      </w:r>
    </w:p>
    <w:p w14:paraId="61B9DD3B" w14:textId="5962F1FA" w:rsidR="004A3E68" w:rsidRPr="00D93585" w:rsidRDefault="005F49AC" w:rsidP="004A3E68">
      <w:pPr>
        <w:rPr>
          <w:rFonts w:ascii="Garamond" w:hAnsi="Garamond"/>
        </w:rPr>
      </w:pPr>
      <w:r w:rsidRPr="00D93585">
        <w:rPr>
          <w:rFonts w:ascii="Garamond" w:hAnsi="Garamond"/>
        </w:rPr>
        <w:t xml:space="preserve">   </w:t>
      </w:r>
      <w:r w:rsidR="004A3E68" w:rsidRPr="00D93585">
        <w:rPr>
          <w:rFonts w:ascii="Garamond" w:hAnsi="Garamond"/>
        </w:rPr>
        <w:t>Under Texas law:</w:t>
      </w:r>
    </w:p>
    <w:p w14:paraId="326907C3" w14:textId="7CF5190E" w:rsidR="004A3E68" w:rsidRPr="00D93585" w:rsidRDefault="004A3E68" w:rsidP="00D06F82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93585">
        <w:rPr>
          <w:rFonts w:ascii="Garamond" w:hAnsi="Garamond"/>
        </w:rPr>
        <w:t>The actor must be the state or a private entity authorized to condemn. Th</w:t>
      </w:r>
      <w:r w:rsidR="00AD7AA4" w:rsidRPr="00D93585">
        <w:rPr>
          <w:rFonts w:ascii="Garamond" w:hAnsi="Garamond"/>
        </w:rPr>
        <w:t>is</w:t>
      </w:r>
      <w:r w:rsidRPr="00D93585">
        <w:rPr>
          <w:rFonts w:ascii="Garamond" w:hAnsi="Garamond"/>
        </w:rPr>
        <w:t xml:space="preserve"> authorization is granted by the Texas Legislature.</w:t>
      </w:r>
    </w:p>
    <w:p w14:paraId="025B89D4" w14:textId="61CF32DB" w:rsidR="004A3E68" w:rsidRPr="00D93585" w:rsidRDefault="004A3E68" w:rsidP="00D06F82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93585">
        <w:rPr>
          <w:rFonts w:ascii="Garamond" w:hAnsi="Garamond"/>
        </w:rPr>
        <w:t>The property must be taken for public use, which is defined as “the ownership, use and enjoyment of the property by the state, a political subdivision of the state, or the public at large, or an entity granted the power of eminent domain under law, or the elimination of urban blight.”</w:t>
      </w:r>
    </w:p>
    <w:p w14:paraId="0CC33028" w14:textId="58A9C24E" w:rsidR="004A3E68" w:rsidRPr="00D93585" w:rsidRDefault="009C1552" w:rsidP="00D06F82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D93585">
        <w:rPr>
          <w:rFonts w:ascii="Garamond" w:hAnsi="Garamond"/>
        </w:rPr>
        <w:t>T</w:t>
      </w:r>
      <w:r w:rsidR="004A3E68" w:rsidRPr="00D93585">
        <w:rPr>
          <w:rFonts w:ascii="Garamond" w:hAnsi="Garamond"/>
        </w:rPr>
        <w:t>he landowner must receive adequate compensation that is based upon the market value of the property.</w:t>
      </w:r>
    </w:p>
    <w:p w14:paraId="29925143" w14:textId="77777777" w:rsidR="00530224" w:rsidRPr="00D93585" w:rsidRDefault="00530224" w:rsidP="00530224">
      <w:pPr>
        <w:rPr>
          <w:rFonts w:ascii="Garamond" w:hAnsi="Garamond"/>
          <w:b/>
          <w:color w:val="B40905"/>
        </w:rPr>
      </w:pPr>
      <w:r w:rsidRPr="00D93585">
        <w:rPr>
          <w:rFonts w:ascii="Garamond" w:hAnsi="Garamond"/>
          <w:b/>
          <w:color w:val="B40905"/>
        </w:rPr>
        <w:t>Who Has Eminent Domain Authority and How Do They Use It?</w:t>
      </w:r>
    </w:p>
    <w:p w14:paraId="6D443740" w14:textId="0D608A19" w:rsidR="00530224" w:rsidRPr="00D93585" w:rsidRDefault="00530224" w:rsidP="00530224">
      <w:pPr>
        <w:rPr>
          <w:rFonts w:ascii="Garamond" w:hAnsi="Garamond"/>
        </w:rPr>
      </w:pPr>
      <w:r w:rsidRPr="00D93585">
        <w:rPr>
          <w:rFonts w:ascii="Garamond" w:hAnsi="Garamond"/>
        </w:rPr>
        <w:t>The 84</w:t>
      </w:r>
      <w:r w:rsidRPr="00D93585">
        <w:rPr>
          <w:rFonts w:ascii="Garamond" w:hAnsi="Garamond"/>
          <w:vertAlign w:val="superscript"/>
        </w:rPr>
        <w:t>th</w:t>
      </w:r>
      <w:r w:rsidRPr="00D93585">
        <w:rPr>
          <w:rFonts w:ascii="Garamond" w:hAnsi="Garamond"/>
        </w:rPr>
        <w:t xml:space="preserve"> Texas Legislature mandated that the Texas Comptroller maintain an online database of public and private entities that have eminent domain authority. That database is </w:t>
      </w:r>
      <w:r w:rsidR="0064790A" w:rsidRPr="00D93585">
        <w:rPr>
          <w:rFonts w:ascii="Garamond" w:hAnsi="Garamond"/>
        </w:rPr>
        <w:t>continually</w:t>
      </w:r>
      <w:r w:rsidRPr="00D93585">
        <w:rPr>
          <w:rFonts w:ascii="Garamond" w:hAnsi="Garamond"/>
        </w:rPr>
        <w:t xml:space="preserve"> updated and is available at </w:t>
      </w:r>
      <w:hyperlink r:id="rId9" w:history="1">
        <w:r w:rsidRPr="00D93585">
          <w:rPr>
            <w:rStyle w:val="Hyperlink"/>
            <w:rFonts w:ascii="Garamond" w:hAnsi="Garamond"/>
          </w:rPr>
          <w:t>https://data.texas.gov/Government-and-Taxes/Eminent-Domain-Data/cvjb-eurw</w:t>
        </w:r>
      </w:hyperlink>
      <w:r w:rsidRPr="00D93585">
        <w:rPr>
          <w:rFonts w:ascii="Garamond" w:hAnsi="Garamond"/>
        </w:rPr>
        <w:t>.</w:t>
      </w:r>
      <w:r w:rsidR="00531B52" w:rsidRPr="00D93585">
        <w:rPr>
          <w:rFonts w:ascii="Garamond" w:hAnsi="Garamond"/>
        </w:rPr>
        <w:t xml:space="preserve"> The wide variety of government and non-government entities is listed below.</w:t>
      </w:r>
      <w:r w:rsidRPr="00D93585">
        <w:rPr>
          <w:rFonts w:ascii="Garamond" w:hAnsi="Garamond"/>
        </w:rPr>
        <w:t xml:space="preserve"> 586 entities have reported filing a condemnation petition, and 297 or 51% of those are cities and pipelines who use condemnation to acquire easements and rights-of-way for pipelines</w:t>
      </w:r>
      <w:r w:rsidR="00D55E81" w:rsidRPr="00D93585">
        <w:rPr>
          <w:rFonts w:ascii="Garamond" w:hAnsi="Garamond"/>
        </w:rPr>
        <w:t xml:space="preserve"> or</w:t>
      </w:r>
      <w:r w:rsidRPr="00D93585">
        <w:rPr>
          <w:rFonts w:ascii="Garamond" w:hAnsi="Garamond"/>
        </w:rPr>
        <w:t xml:space="preserve"> infrastructure</w:t>
      </w:r>
      <w:r w:rsidR="00D55E81" w:rsidRPr="00D93585">
        <w:rPr>
          <w:rFonts w:ascii="Garamond" w:hAnsi="Garamond"/>
        </w:rPr>
        <w:t>.</w:t>
      </w:r>
    </w:p>
    <w:p w14:paraId="682AA776" w14:textId="77777777" w:rsidR="001C1BBC" w:rsidRPr="00D93585" w:rsidRDefault="001C1BBC" w:rsidP="00530224">
      <w:pPr>
        <w:rPr>
          <w:rFonts w:ascii="Garamond" w:hAnsi="Garamond"/>
        </w:rPr>
      </w:pPr>
    </w:p>
    <w:tbl>
      <w:tblPr>
        <w:tblW w:w="4606" w:type="pct"/>
        <w:tblLayout w:type="fixed"/>
        <w:tblLook w:val="04A0" w:firstRow="1" w:lastRow="0" w:firstColumn="1" w:lastColumn="0" w:noHBand="0" w:noVBand="1"/>
      </w:tblPr>
      <w:tblGrid>
        <w:gridCol w:w="6765"/>
        <w:gridCol w:w="2090"/>
        <w:gridCol w:w="1293"/>
      </w:tblGrid>
      <w:tr w:rsidR="00530224" w:rsidRPr="00D93585" w14:paraId="6923E186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6D089021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Entity Type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D9E1F2" w:fill="D9E1F2"/>
            <w:noWrap/>
            <w:vAlign w:val="bottom"/>
            <w:hideMark/>
          </w:tcPr>
          <w:p w14:paraId="7C8E21D1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Count of Entities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bottom"/>
            <w:hideMark/>
          </w:tcPr>
          <w:p w14:paraId="73B45B6A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% of Total</w:t>
            </w:r>
          </w:p>
        </w:tc>
      </w:tr>
      <w:tr w:rsidR="00530224" w:rsidRPr="00D93585" w14:paraId="7A4376C8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0CD" w14:textId="7D84E64A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City</w:t>
            </w:r>
            <w:r w:rsidR="00361F23"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/County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3A42" w14:textId="5C370266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</w:t>
            </w:r>
            <w:r w:rsidR="00361F23"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3,152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E23F" w14:textId="4563E5F6" w:rsidR="00530224" w:rsidRPr="00D93585" w:rsidRDefault="00361F23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19.93</w:t>
            </w:r>
            <w:r w:rsidR="00530224"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%</w:t>
            </w:r>
          </w:p>
        </w:tc>
      </w:tr>
      <w:tr w:rsidR="00530224" w:rsidRPr="00D93585" w14:paraId="1ED18A5F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614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Community College District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4A4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     90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E3F9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0.57%</w:t>
            </w:r>
          </w:p>
        </w:tc>
      </w:tr>
      <w:tr w:rsidR="00530224" w:rsidRPr="00D93585" w14:paraId="585AA716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1EFE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Economic Development Corporation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967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   623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2A2C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3.94%</w:t>
            </w:r>
          </w:p>
        </w:tc>
      </w:tr>
      <w:tr w:rsidR="00530224" w:rsidRPr="00D93585" w14:paraId="05CBFE3C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CD50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Independent School District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3321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2,434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5440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15.40%</w:t>
            </w:r>
          </w:p>
        </w:tc>
      </w:tr>
      <w:tr w:rsidR="00530224" w:rsidRPr="00D93585" w14:paraId="6A7D2A5C" w14:textId="77777777" w:rsidTr="00D06F82">
        <w:trPr>
          <w:trHeight w:val="245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F53F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Municipal Utility or Water District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6D98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4,557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5DC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28.82%</w:t>
            </w:r>
          </w:p>
        </w:tc>
      </w:tr>
      <w:tr w:rsidR="00530224" w:rsidRPr="00D93585" w14:paraId="135EB68A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0BEC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Other Governmental Entity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A48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   929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510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5.88%</w:t>
            </w:r>
          </w:p>
        </w:tc>
      </w:tr>
      <w:tr w:rsidR="00530224" w:rsidRPr="00D93585" w14:paraId="21C1353A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89CD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Other Special Purpose District (Hospital, Emergency Services, Road)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3C1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   304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2B7E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1.92%</w:t>
            </w:r>
          </w:p>
        </w:tc>
      </w:tr>
      <w:tr w:rsidR="00530224" w:rsidRPr="00D93585" w14:paraId="6940A6BE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B3E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Other Non-Governmental Entity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33B4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2,149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537D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13.59%</w:t>
            </w:r>
          </w:p>
        </w:tc>
      </w:tr>
      <w:tr w:rsidR="00530224" w:rsidRPr="00D93585" w14:paraId="53A00BC9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BA09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Pipelines and Related Facilities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E481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1,301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ECE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8.23%</w:t>
            </w:r>
          </w:p>
        </w:tc>
      </w:tr>
      <w:tr w:rsidR="00530224" w:rsidRPr="00D93585" w14:paraId="3816AEEB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0E0A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Railroad Company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5E50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   107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43F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0.68%</w:t>
            </w:r>
          </w:p>
        </w:tc>
      </w:tr>
      <w:tr w:rsidR="00530224" w:rsidRPr="00D93585" w14:paraId="3F5157B1" w14:textId="77777777" w:rsidTr="00D06F82">
        <w:trPr>
          <w:trHeight w:val="2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3287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Telephone or Other Communications Company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57FC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                      164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A72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1.04%</w:t>
            </w:r>
          </w:p>
        </w:tc>
      </w:tr>
      <w:tr w:rsidR="00530224" w:rsidRPr="00D93585" w14:paraId="255E4023" w14:textId="77777777" w:rsidTr="00D06F82">
        <w:trPr>
          <w:trHeight w:val="44"/>
        </w:trPr>
        <w:tc>
          <w:tcPr>
            <w:tcW w:w="3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9F1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67D1" w14:textId="77777777" w:rsidR="00530224" w:rsidRPr="00D93585" w:rsidRDefault="00530224" w:rsidP="00D505C8">
            <w:pPr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 xml:space="preserve">                  15,810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B1E4" w14:textId="77777777" w:rsidR="00530224" w:rsidRPr="00D93585" w:rsidRDefault="00530224" w:rsidP="00D505C8">
            <w:pPr>
              <w:jc w:val="right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D93585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100.00%</w:t>
            </w:r>
          </w:p>
        </w:tc>
      </w:tr>
    </w:tbl>
    <w:p w14:paraId="2BCF3D0F" w14:textId="77777777" w:rsidR="00530224" w:rsidRPr="00D93585" w:rsidRDefault="00530224" w:rsidP="00530224">
      <w:pPr>
        <w:rPr>
          <w:rFonts w:ascii="Garamond" w:hAnsi="Garamond"/>
          <w:sz w:val="18"/>
          <w:szCs w:val="18"/>
        </w:rPr>
      </w:pPr>
      <w:r w:rsidRPr="00D93585">
        <w:rPr>
          <w:rFonts w:ascii="Garamond" w:hAnsi="Garamond"/>
          <w:sz w:val="18"/>
          <w:szCs w:val="18"/>
        </w:rPr>
        <w:t>Source: Texas Comptroller</w:t>
      </w:r>
    </w:p>
    <w:p w14:paraId="486620B8" w14:textId="77777777" w:rsidR="00530224" w:rsidRPr="00D93585" w:rsidRDefault="00530224" w:rsidP="00530224">
      <w:pPr>
        <w:rPr>
          <w:rFonts w:ascii="Garamond" w:hAnsi="Garamond"/>
          <w:b/>
          <w:sz w:val="16"/>
          <w:szCs w:val="16"/>
        </w:rPr>
      </w:pPr>
    </w:p>
    <w:p w14:paraId="297E63AA" w14:textId="77777777" w:rsidR="001C1BBC" w:rsidRPr="00D93585" w:rsidRDefault="001C1BBC" w:rsidP="00C34960">
      <w:pPr>
        <w:rPr>
          <w:rFonts w:ascii="Garamond" w:eastAsia="Times New Roman" w:hAnsi="Garamond" w:cstheme="minorHAnsi"/>
          <w:b/>
        </w:rPr>
      </w:pPr>
    </w:p>
    <w:p w14:paraId="190BEBF6" w14:textId="431576E1" w:rsidR="00C34960" w:rsidRPr="00D93585" w:rsidRDefault="00C34960" w:rsidP="00C34960">
      <w:pPr>
        <w:rPr>
          <w:rFonts w:ascii="Garamond" w:eastAsia="Times New Roman" w:hAnsi="Garamond" w:cstheme="minorHAnsi"/>
          <w:b/>
        </w:rPr>
      </w:pPr>
      <w:r w:rsidRPr="00D93585">
        <w:rPr>
          <w:rFonts w:ascii="Garamond" w:eastAsia="Times New Roman" w:hAnsi="Garamond" w:cstheme="minorHAnsi"/>
          <w:b/>
        </w:rPr>
        <w:t>Legal Protections for Landowners</w:t>
      </w:r>
    </w:p>
    <w:p w14:paraId="49F92F56" w14:textId="25B64FC8" w:rsidR="00603B0E" w:rsidRPr="00D93585" w:rsidRDefault="00603B0E" w:rsidP="00C34960">
      <w:pPr>
        <w:rPr>
          <w:rFonts w:ascii="Garamond" w:eastAsia="Times New Roman" w:hAnsi="Garamond" w:cstheme="minorHAnsi"/>
        </w:rPr>
      </w:pPr>
      <w:r w:rsidRPr="00D93585">
        <w:rPr>
          <w:rFonts w:ascii="Garamond" w:eastAsia="Times New Roman" w:hAnsi="Garamond" w:cstheme="minorHAnsi"/>
        </w:rPr>
        <w:t>L</w:t>
      </w:r>
      <w:r w:rsidR="00C34960" w:rsidRPr="00D93585">
        <w:rPr>
          <w:rFonts w:ascii="Garamond" w:eastAsia="Times New Roman" w:hAnsi="Garamond" w:cstheme="minorHAnsi"/>
        </w:rPr>
        <w:t xml:space="preserve">egal protections </w:t>
      </w:r>
      <w:r w:rsidRPr="00D93585">
        <w:rPr>
          <w:rFonts w:ascii="Garamond" w:eastAsia="Times New Roman" w:hAnsi="Garamond" w:cstheme="minorHAnsi"/>
        </w:rPr>
        <w:t>f</w:t>
      </w:r>
      <w:r w:rsidR="00C34960" w:rsidRPr="00D93585">
        <w:rPr>
          <w:rFonts w:ascii="Garamond" w:eastAsia="Times New Roman" w:hAnsi="Garamond" w:cstheme="minorHAnsi"/>
        </w:rPr>
        <w:t xml:space="preserve">or landowners are found in the State of Texas Landowners Bill of Rights. </w:t>
      </w:r>
      <w:r w:rsidRPr="00D93585">
        <w:rPr>
          <w:rFonts w:ascii="Garamond" w:eastAsia="Times New Roman" w:hAnsi="Garamond" w:cstheme="minorHAnsi"/>
        </w:rPr>
        <w:t>This document</w:t>
      </w:r>
      <w:r w:rsidR="00C34960" w:rsidRPr="00D93585">
        <w:rPr>
          <w:rFonts w:ascii="Garamond" w:eastAsia="Times New Roman" w:hAnsi="Garamond" w:cstheme="minorHAnsi"/>
        </w:rPr>
        <w:t xml:space="preserve"> gives a step</w:t>
      </w:r>
      <w:r w:rsidRPr="00D93585">
        <w:rPr>
          <w:rFonts w:ascii="Garamond" w:eastAsia="Times New Roman" w:hAnsi="Garamond" w:cstheme="minorHAnsi"/>
        </w:rPr>
        <w:t>-</w:t>
      </w:r>
      <w:r w:rsidR="00C34960" w:rsidRPr="00D93585">
        <w:rPr>
          <w:rFonts w:ascii="Garamond" w:eastAsia="Times New Roman" w:hAnsi="Garamond" w:cstheme="minorHAnsi"/>
        </w:rPr>
        <w:t>by</w:t>
      </w:r>
      <w:r w:rsidRPr="00D93585">
        <w:rPr>
          <w:rFonts w:ascii="Garamond" w:eastAsia="Times New Roman" w:hAnsi="Garamond" w:cstheme="minorHAnsi"/>
        </w:rPr>
        <w:t>-</w:t>
      </w:r>
      <w:r w:rsidR="00C34960" w:rsidRPr="00D93585">
        <w:rPr>
          <w:rFonts w:ascii="Garamond" w:eastAsia="Times New Roman" w:hAnsi="Garamond" w:cstheme="minorHAnsi"/>
        </w:rPr>
        <w:t xml:space="preserve">step procedure of what </w:t>
      </w:r>
      <w:r w:rsidR="00E23021" w:rsidRPr="00D93585">
        <w:rPr>
          <w:rFonts w:ascii="Garamond" w:eastAsia="Times New Roman" w:hAnsi="Garamond" w:cstheme="minorHAnsi"/>
        </w:rPr>
        <w:t>l</w:t>
      </w:r>
      <w:r w:rsidR="00C34960" w:rsidRPr="00D93585">
        <w:rPr>
          <w:rFonts w:ascii="Garamond" w:eastAsia="Times New Roman" w:hAnsi="Garamond" w:cstheme="minorHAnsi"/>
        </w:rPr>
        <w:t xml:space="preserve">andowners can expect in </w:t>
      </w:r>
      <w:r w:rsidRPr="00D93585">
        <w:rPr>
          <w:rFonts w:ascii="Garamond" w:eastAsia="Times New Roman" w:hAnsi="Garamond" w:cstheme="minorHAnsi"/>
        </w:rPr>
        <w:t>the condemnation process:</w:t>
      </w:r>
    </w:p>
    <w:p w14:paraId="7EAEF38F" w14:textId="73364E24" w:rsidR="00F41957" w:rsidRPr="00D93585" w:rsidRDefault="00C34960" w:rsidP="00AD7AA4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93585">
        <w:rPr>
          <w:rFonts w:ascii="Garamond" w:hAnsi="Garamond"/>
        </w:rPr>
        <w:t xml:space="preserve">After the appraisal and a bona fide offer </w:t>
      </w:r>
      <w:r w:rsidR="00F41957" w:rsidRPr="00D93585">
        <w:rPr>
          <w:rFonts w:ascii="Garamond" w:hAnsi="Garamond"/>
        </w:rPr>
        <w:t>are</w:t>
      </w:r>
      <w:r w:rsidRPr="00D93585">
        <w:rPr>
          <w:rFonts w:ascii="Garamond" w:hAnsi="Garamond"/>
        </w:rPr>
        <w:t xml:space="preserve"> given to the landowner,</w:t>
      </w:r>
      <w:r w:rsidR="00603B0E" w:rsidRPr="00D93585">
        <w:rPr>
          <w:rFonts w:ascii="Garamond" w:hAnsi="Garamond"/>
        </w:rPr>
        <w:t xml:space="preserve"> </w:t>
      </w:r>
      <w:r w:rsidRPr="00D93585">
        <w:rPr>
          <w:rFonts w:ascii="Garamond" w:hAnsi="Garamond"/>
        </w:rPr>
        <w:t xml:space="preserve">the landowner can accept or reject the offer. If </w:t>
      </w:r>
      <w:r w:rsidR="00F41957" w:rsidRPr="00D93585">
        <w:rPr>
          <w:rFonts w:ascii="Garamond" w:hAnsi="Garamond"/>
        </w:rPr>
        <w:t xml:space="preserve">the offer is </w:t>
      </w:r>
      <w:r w:rsidRPr="00D93585">
        <w:rPr>
          <w:rFonts w:ascii="Garamond" w:hAnsi="Garamond"/>
        </w:rPr>
        <w:t>rejected</w:t>
      </w:r>
      <w:r w:rsidR="00603B0E" w:rsidRPr="00D93585">
        <w:rPr>
          <w:rFonts w:ascii="Garamond" w:hAnsi="Garamond"/>
        </w:rPr>
        <w:t>,</w:t>
      </w:r>
      <w:r w:rsidRPr="00D93585">
        <w:rPr>
          <w:rFonts w:ascii="Garamond" w:hAnsi="Garamond"/>
        </w:rPr>
        <w:t xml:space="preserve"> </w:t>
      </w:r>
      <w:r w:rsidR="009C1552" w:rsidRPr="00D93585">
        <w:rPr>
          <w:rFonts w:ascii="Garamond" w:hAnsi="Garamond"/>
        </w:rPr>
        <w:t>the condemning entity files suit</w:t>
      </w:r>
      <w:r w:rsidR="00603B0E" w:rsidRPr="00D93585">
        <w:rPr>
          <w:rFonts w:ascii="Garamond" w:hAnsi="Garamond"/>
        </w:rPr>
        <w:t xml:space="preserve"> in court in the county in which the property is located</w:t>
      </w:r>
      <w:r w:rsidRPr="00D93585">
        <w:rPr>
          <w:rFonts w:ascii="Garamond" w:hAnsi="Garamond"/>
        </w:rPr>
        <w:t xml:space="preserve">. </w:t>
      </w:r>
      <w:r w:rsidR="00603B0E" w:rsidRPr="00D93585">
        <w:rPr>
          <w:rFonts w:ascii="Garamond" w:hAnsi="Garamond"/>
        </w:rPr>
        <w:t>A j</w:t>
      </w:r>
      <w:r w:rsidRPr="00D93585">
        <w:rPr>
          <w:rFonts w:ascii="Garamond" w:hAnsi="Garamond"/>
        </w:rPr>
        <w:t xml:space="preserve">udge appoints </w:t>
      </w:r>
      <w:r w:rsidR="00F41957" w:rsidRPr="00D93585">
        <w:rPr>
          <w:rFonts w:ascii="Garamond" w:hAnsi="Garamond"/>
        </w:rPr>
        <w:t>three</w:t>
      </w:r>
      <w:r w:rsidRPr="00D93585">
        <w:rPr>
          <w:rFonts w:ascii="Garamond" w:hAnsi="Garamond"/>
        </w:rPr>
        <w:t xml:space="preserve"> local landowners to serve as </w:t>
      </w:r>
      <w:r w:rsidR="009C1552" w:rsidRPr="00D93585">
        <w:rPr>
          <w:rFonts w:ascii="Garamond" w:hAnsi="Garamond"/>
        </w:rPr>
        <w:t xml:space="preserve">special </w:t>
      </w:r>
      <w:r w:rsidRPr="00D93585">
        <w:rPr>
          <w:rFonts w:ascii="Garamond" w:hAnsi="Garamond"/>
        </w:rPr>
        <w:t>commissioners. The</w:t>
      </w:r>
      <w:r w:rsidR="00F41957" w:rsidRPr="00D93585">
        <w:rPr>
          <w:rFonts w:ascii="Garamond" w:hAnsi="Garamond"/>
        </w:rPr>
        <w:t xml:space="preserve"> commission</w:t>
      </w:r>
      <w:r w:rsidRPr="00D93585">
        <w:rPr>
          <w:rFonts w:ascii="Garamond" w:hAnsi="Garamond"/>
        </w:rPr>
        <w:t xml:space="preserve"> only assess</w:t>
      </w:r>
      <w:r w:rsidR="00E23021" w:rsidRPr="00D93585">
        <w:rPr>
          <w:rFonts w:ascii="Garamond" w:hAnsi="Garamond"/>
        </w:rPr>
        <w:t>es</w:t>
      </w:r>
      <w:r w:rsidRPr="00D93585">
        <w:rPr>
          <w:rFonts w:ascii="Garamond" w:hAnsi="Garamond"/>
        </w:rPr>
        <w:t xml:space="preserve"> whether the compensation offered is adequate. </w:t>
      </w:r>
    </w:p>
    <w:p w14:paraId="00648E3A" w14:textId="2B915997" w:rsidR="00F41957" w:rsidRPr="00D93585" w:rsidRDefault="00C34960" w:rsidP="00603B0E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93585">
        <w:rPr>
          <w:rFonts w:ascii="Garamond" w:hAnsi="Garamond"/>
        </w:rPr>
        <w:lastRenderedPageBreak/>
        <w:t xml:space="preserve">If </w:t>
      </w:r>
      <w:r w:rsidR="00603B0E" w:rsidRPr="00D93585">
        <w:rPr>
          <w:rFonts w:ascii="Garamond" w:hAnsi="Garamond"/>
        </w:rPr>
        <w:t>the commission</w:t>
      </w:r>
      <w:r w:rsidRPr="00D93585">
        <w:rPr>
          <w:rFonts w:ascii="Garamond" w:hAnsi="Garamond"/>
        </w:rPr>
        <w:t xml:space="preserve"> </w:t>
      </w:r>
      <w:r w:rsidR="00603B0E" w:rsidRPr="00D93585">
        <w:rPr>
          <w:rFonts w:ascii="Garamond" w:hAnsi="Garamond"/>
        </w:rPr>
        <w:t>determines</w:t>
      </w:r>
      <w:r w:rsidRPr="00D93585">
        <w:rPr>
          <w:rFonts w:ascii="Garamond" w:hAnsi="Garamond"/>
        </w:rPr>
        <w:t xml:space="preserve"> a higher amount than the</w:t>
      </w:r>
      <w:r w:rsidR="00603B0E" w:rsidRPr="00D93585">
        <w:rPr>
          <w:rFonts w:ascii="Garamond" w:hAnsi="Garamond"/>
        </w:rPr>
        <w:t xml:space="preserve"> condemning</w:t>
      </w:r>
      <w:r w:rsidRPr="00D93585">
        <w:rPr>
          <w:rFonts w:ascii="Garamond" w:hAnsi="Garamond"/>
        </w:rPr>
        <w:t xml:space="preserve"> entity offered, the</w:t>
      </w:r>
      <w:r w:rsidR="00F41957" w:rsidRPr="00D93585">
        <w:rPr>
          <w:rFonts w:ascii="Garamond" w:hAnsi="Garamond"/>
        </w:rPr>
        <w:t xml:space="preserve"> condemning</w:t>
      </w:r>
      <w:r w:rsidR="009C1552" w:rsidRPr="00D93585">
        <w:rPr>
          <w:rFonts w:ascii="Garamond" w:hAnsi="Garamond"/>
        </w:rPr>
        <w:t xml:space="preserve"> entity</w:t>
      </w:r>
      <w:r w:rsidR="00F41957" w:rsidRPr="00D93585">
        <w:rPr>
          <w:rFonts w:ascii="Garamond" w:hAnsi="Garamond"/>
        </w:rPr>
        <w:t xml:space="preserve"> is responsible for the costs associated with the proceedings</w:t>
      </w:r>
      <w:r w:rsidR="00603B0E" w:rsidRPr="00D93585">
        <w:rPr>
          <w:rFonts w:ascii="Garamond" w:hAnsi="Garamond"/>
        </w:rPr>
        <w:t>.</w:t>
      </w:r>
      <w:r w:rsidRPr="00D93585">
        <w:rPr>
          <w:rFonts w:ascii="Garamond" w:hAnsi="Garamond"/>
        </w:rPr>
        <w:t xml:space="preserve"> </w:t>
      </w:r>
      <w:r w:rsidR="00603B0E" w:rsidRPr="00D93585">
        <w:rPr>
          <w:rFonts w:ascii="Garamond" w:hAnsi="Garamond"/>
        </w:rPr>
        <w:t>I</w:t>
      </w:r>
      <w:r w:rsidRPr="00D93585">
        <w:rPr>
          <w:rFonts w:ascii="Garamond" w:hAnsi="Garamond"/>
        </w:rPr>
        <w:t xml:space="preserve">f </w:t>
      </w:r>
      <w:r w:rsidR="00603B0E" w:rsidRPr="00D93585">
        <w:rPr>
          <w:rFonts w:ascii="Garamond" w:hAnsi="Garamond"/>
        </w:rPr>
        <w:t>the commission</w:t>
      </w:r>
      <w:r w:rsidR="00F41957" w:rsidRPr="00D93585">
        <w:rPr>
          <w:rFonts w:ascii="Garamond" w:hAnsi="Garamond"/>
        </w:rPr>
        <w:t xml:space="preserve"> determines</w:t>
      </w:r>
      <w:r w:rsidR="00603B0E" w:rsidRPr="00D93585">
        <w:rPr>
          <w:rFonts w:ascii="Garamond" w:hAnsi="Garamond"/>
        </w:rPr>
        <w:t xml:space="preserve"> </w:t>
      </w:r>
      <w:r w:rsidR="00F41957" w:rsidRPr="00D93585">
        <w:rPr>
          <w:rFonts w:ascii="Garamond" w:hAnsi="Garamond"/>
        </w:rPr>
        <w:t xml:space="preserve">an amount </w:t>
      </w:r>
      <w:r w:rsidRPr="00D93585">
        <w:rPr>
          <w:rFonts w:ascii="Garamond" w:hAnsi="Garamond"/>
        </w:rPr>
        <w:t>less</w:t>
      </w:r>
      <w:r w:rsidR="00F41957" w:rsidRPr="00D93585">
        <w:rPr>
          <w:rFonts w:ascii="Garamond" w:hAnsi="Garamond"/>
        </w:rPr>
        <w:t xml:space="preserve"> than </w:t>
      </w:r>
      <w:r w:rsidRPr="00D93585">
        <w:rPr>
          <w:rFonts w:ascii="Garamond" w:hAnsi="Garamond"/>
        </w:rPr>
        <w:t>or equal to the original offer, the landowner</w:t>
      </w:r>
      <w:r w:rsidR="00F41957" w:rsidRPr="00D93585">
        <w:rPr>
          <w:rFonts w:ascii="Garamond" w:hAnsi="Garamond"/>
        </w:rPr>
        <w:t xml:space="preserve"> may be responsible for the costs</w:t>
      </w:r>
      <w:r w:rsidRPr="00D93585">
        <w:rPr>
          <w:rFonts w:ascii="Garamond" w:hAnsi="Garamond"/>
        </w:rPr>
        <w:t xml:space="preserve">. </w:t>
      </w:r>
    </w:p>
    <w:p w14:paraId="204D6A92" w14:textId="22AFCF85" w:rsidR="00D55E81" w:rsidRPr="00D93585" w:rsidRDefault="00C34960" w:rsidP="00D06F82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93585">
        <w:rPr>
          <w:rFonts w:ascii="Garamond" w:hAnsi="Garamond"/>
        </w:rPr>
        <w:t xml:space="preserve">Once the </w:t>
      </w:r>
      <w:r w:rsidR="00F41957" w:rsidRPr="00D93585">
        <w:rPr>
          <w:rFonts w:ascii="Garamond" w:hAnsi="Garamond"/>
        </w:rPr>
        <w:t>a</w:t>
      </w:r>
      <w:r w:rsidRPr="00D93585">
        <w:rPr>
          <w:rFonts w:ascii="Garamond" w:hAnsi="Garamond"/>
        </w:rPr>
        <w:t xml:space="preserve">ward is made, the condemner may take possession, even if either party appeals the decision. The landowner </w:t>
      </w:r>
      <w:r w:rsidR="009C1552" w:rsidRPr="00D93585">
        <w:rPr>
          <w:rFonts w:ascii="Garamond" w:hAnsi="Garamond"/>
        </w:rPr>
        <w:t>may</w:t>
      </w:r>
      <w:r w:rsidRPr="00D93585">
        <w:rPr>
          <w:rFonts w:ascii="Garamond" w:hAnsi="Garamond"/>
        </w:rPr>
        <w:t xml:space="preserve"> appeal and </w:t>
      </w:r>
      <w:r w:rsidR="009C1552" w:rsidRPr="00D93585">
        <w:rPr>
          <w:rFonts w:ascii="Garamond" w:hAnsi="Garamond"/>
        </w:rPr>
        <w:t>request</w:t>
      </w:r>
      <w:r w:rsidRPr="00D93585">
        <w:rPr>
          <w:rFonts w:ascii="Garamond" w:hAnsi="Garamond"/>
        </w:rPr>
        <w:t xml:space="preserve"> a trial.</w:t>
      </w:r>
    </w:p>
    <w:p w14:paraId="20BD0FBE" w14:textId="6C70F5A6" w:rsidR="00C34960" w:rsidRPr="00D93585" w:rsidRDefault="00C34960" w:rsidP="001C1BBC">
      <w:pPr>
        <w:rPr>
          <w:rFonts w:ascii="Garamond" w:hAnsi="Garamond"/>
        </w:rPr>
      </w:pPr>
      <w:r w:rsidRPr="00D93585">
        <w:rPr>
          <w:rFonts w:ascii="Garamond" w:hAnsi="Garamond"/>
        </w:rPr>
        <w:t xml:space="preserve">The real weakness in the Texas process </w:t>
      </w:r>
      <w:r w:rsidR="009C1552" w:rsidRPr="00D93585">
        <w:rPr>
          <w:rFonts w:ascii="Garamond" w:hAnsi="Garamond"/>
        </w:rPr>
        <w:t>is</w:t>
      </w:r>
      <w:r w:rsidRPr="00D93585">
        <w:rPr>
          <w:rFonts w:ascii="Garamond" w:hAnsi="Garamond"/>
        </w:rPr>
        <w:t xml:space="preserve"> the expense </w:t>
      </w:r>
      <w:r w:rsidR="009C1552" w:rsidRPr="00D93585">
        <w:rPr>
          <w:rFonts w:ascii="Garamond" w:hAnsi="Garamond"/>
        </w:rPr>
        <w:t xml:space="preserve">incurred by </w:t>
      </w:r>
      <w:r w:rsidRPr="00D93585">
        <w:rPr>
          <w:rFonts w:ascii="Garamond" w:hAnsi="Garamond"/>
        </w:rPr>
        <w:t xml:space="preserve">the </w:t>
      </w:r>
      <w:r w:rsidR="00E23021" w:rsidRPr="00D93585">
        <w:rPr>
          <w:rFonts w:ascii="Garamond" w:hAnsi="Garamond"/>
        </w:rPr>
        <w:t>l</w:t>
      </w:r>
      <w:r w:rsidRPr="00D93585">
        <w:rPr>
          <w:rFonts w:ascii="Garamond" w:hAnsi="Garamond"/>
        </w:rPr>
        <w:t>andowner</w:t>
      </w:r>
      <w:r w:rsidR="00F41957" w:rsidRPr="00D93585">
        <w:rPr>
          <w:rFonts w:ascii="Garamond" w:hAnsi="Garamond"/>
        </w:rPr>
        <w:t xml:space="preserve"> when</w:t>
      </w:r>
      <w:r w:rsidRPr="00D93585">
        <w:rPr>
          <w:rFonts w:ascii="Garamond" w:hAnsi="Garamond"/>
        </w:rPr>
        <w:t xml:space="preserve"> fighting </w:t>
      </w:r>
      <w:r w:rsidR="009C1552" w:rsidRPr="00D93585">
        <w:rPr>
          <w:rFonts w:ascii="Garamond" w:hAnsi="Garamond"/>
        </w:rPr>
        <w:t xml:space="preserve">condemnation by entities with a lot of resources. The </w:t>
      </w:r>
      <w:r w:rsidRPr="00D93585">
        <w:rPr>
          <w:rFonts w:ascii="Garamond" w:hAnsi="Garamond"/>
        </w:rPr>
        <w:t xml:space="preserve">costs they face if they appeal a bona fide offer or an </w:t>
      </w:r>
      <w:r w:rsidR="009C1552" w:rsidRPr="00D93585">
        <w:rPr>
          <w:rFonts w:ascii="Garamond" w:hAnsi="Garamond"/>
        </w:rPr>
        <w:t>a</w:t>
      </w:r>
      <w:r w:rsidRPr="00D93585">
        <w:rPr>
          <w:rFonts w:ascii="Garamond" w:hAnsi="Garamond"/>
        </w:rPr>
        <w:t xml:space="preserve">ward from the </w:t>
      </w:r>
      <w:r w:rsidR="009C1552" w:rsidRPr="00D93585">
        <w:rPr>
          <w:rFonts w:ascii="Garamond" w:hAnsi="Garamond"/>
        </w:rPr>
        <w:t>special</w:t>
      </w:r>
      <w:r w:rsidRPr="00D93585">
        <w:rPr>
          <w:rFonts w:ascii="Garamond" w:hAnsi="Garamond"/>
        </w:rPr>
        <w:t xml:space="preserve"> commission can discourage them fro</w:t>
      </w:r>
      <w:bookmarkStart w:id="0" w:name="_GoBack"/>
      <w:bookmarkEnd w:id="0"/>
      <w:r w:rsidRPr="00D93585">
        <w:rPr>
          <w:rFonts w:ascii="Garamond" w:hAnsi="Garamond"/>
        </w:rPr>
        <w:t>m pursuing</w:t>
      </w:r>
      <w:r w:rsidR="00F41957" w:rsidRPr="00D93585">
        <w:rPr>
          <w:rFonts w:ascii="Garamond" w:hAnsi="Garamond"/>
        </w:rPr>
        <w:t xml:space="preserve"> a fair offer</w:t>
      </w:r>
      <w:r w:rsidRPr="00D93585">
        <w:rPr>
          <w:rFonts w:ascii="Garamond" w:hAnsi="Garamond"/>
        </w:rPr>
        <w:t xml:space="preserve">. </w:t>
      </w:r>
    </w:p>
    <w:p w14:paraId="1011A532" w14:textId="77777777" w:rsidR="00530224" w:rsidRPr="00D93585" w:rsidRDefault="00530224" w:rsidP="004A3E68">
      <w:pPr>
        <w:rPr>
          <w:rFonts w:ascii="Garamond" w:hAnsi="Garamond"/>
          <w:sz w:val="16"/>
          <w:szCs w:val="16"/>
        </w:rPr>
      </w:pPr>
    </w:p>
    <w:p w14:paraId="0FFB3959" w14:textId="77777777" w:rsidR="00C34960" w:rsidRPr="00D93585" w:rsidRDefault="00C34960" w:rsidP="004A3E68">
      <w:pPr>
        <w:rPr>
          <w:rFonts w:ascii="Garamond" w:hAnsi="Garamond"/>
          <w:b/>
          <w:color w:val="B40905"/>
        </w:rPr>
      </w:pPr>
      <w:r w:rsidRPr="00D93585">
        <w:rPr>
          <w:rFonts w:ascii="Garamond" w:hAnsi="Garamond"/>
          <w:b/>
          <w:color w:val="B40905"/>
        </w:rPr>
        <w:t>Impacts on the Environment</w:t>
      </w:r>
    </w:p>
    <w:p w14:paraId="33D3B811" w14:textId="6BE975EC" w:rsidR="00C34960" w:rsidRPr="00D93585" w:rsidRDefault="004F1A95" w:rsidP="004A3E68">
      <w:pPr>
        <w:rPr>
          <w:rFonts w:ascii="Garamond" w:hAnsi="Garamond"/>
        </w:rPr>
      </w:pPr>
      <w:r w:rsidRPr="00D93585">
        <w:rPr>
          <w:rFonts w:ascii="Garamond" w:hAnsi="Garamond"/>
        </w:rPr>
        <w:t xml:space="preserve">Current eminent domain law in Texas allows </w:t>
      </w:r>
      <w:r w:rsidR="00D55E81" w:rsidRPr="00D93585">
        <w:rPr>
          <w:rFonts w:ascii="Garamond" w:hAnsi="Garamond"/>
        </w:rPr>
        <w:t>condemnation of property</w:t>
      </w:r>
      <w:r w:rsidRPr="00D93585">
        <w:rPr>
          <w:rFonts w:ascii="Garamond" w:hAnsi="Garamond"/>
        </w:rPr>
        <w:t xml:space="preserve"> without regard for impacts on the environment. For example, special districts such as Municipal Utility Districts</w:t>
      </w:r>
      <w:r w:rsidR="00A84A06" w:rsidRPr="00D93585">
        <w:rPr>
          <w:rFonts w:ascii="Garamond" w:hAnsi="Garamond"/>
        </w:rPr>
        <w:t xml:space="preserve"> can</w:t>
      </w:r>
      <w:r w:rsidRPr="00D93585">
        <w:rPr>
          <w:rFonts w:ascii="Garamond" w:hAnsi="Garamond"/>
        </w:rPr>
        <w:t xml:space="preserve"> </w:t>
      </w:r>
      <w:r w:rsidR="00C85218" w:rsidRPr="00D93585">
        <w:rPr>
          <w:rFonts w:ascii="Garamond" w:hAnsi="Garamond"/>
        </w:rPr>
        <w:t xml:space="preserve">take adjacent land to discharge sewage effluent. </w:t>
      </w:r>
      <w:r w:rsidR="00AD7AA4" w:rsidRPr="00D93585">
        <w:rPr>
          <w:rFonts w:ascii="Garamond" w:hAnsi="Garamond"/>
        </w:rPr>
        <w:t>Pipelines can be run</w:t>
      </w:r>
      <w:r w:rsidR="00A84A06" w:rsidRPr="00D93585">
        <w:rPr>
          <w:rFonts w:ascii="Garamond" w:hAnsi="Garamond"/>
        </w:rPr>
        <w:t xml:space="preserve"> through a sensitive habitat or watershed.</w:t>
      </w:r>
      <w:r w:rsidR="002E3F1A" w:rsidRPr="00D93585">
        <w:rPr>
          <w:rFonts w:ascii="Garamond" w:hAnsi="Garamond"/>
        </w:rPr>
        <w:t xml:space="preserve"> </w:t>
      </w:r>
      <w:r w:rsidR="00531B52" w:rsidRPr="00D93585">
        <w:rPr>
          <w:rFonts w:ascii="Garamond" w:hAnsi="Garamond"/>
        </w:rPr>
        <w:t xml:space="preserve">There are no exemptions from eminent domain for property that is </w:t>
      </w:r>
      <w:r w:rsidR="00D55E81" w:rsidRPr="00D93585">
        <w:rPr>
          <w:rFonts w:ascii="Garamond" w:hAnsi="Garamond"/>
        </w:rPr>
        <w:t xml:space="preserve">under </w:t>
      </w:r>
      <w:r w:rsidR="002E3F1A" w:rsidRPr="00D93585">
        <w:rPr>
          <w:rFonts w:ascii="Garamond" w:hAnsi="Garamond"/>
        </w:rPr>
        <w:t xml:space="preserve">a conservation easement, a property containing a natural spring, or property in use as grassland. Neither the environmental benefits of current land use, nor the potential negative environmental impacts of the proposed land use </w:t>
      </w:r>
      <w:r w:rsidR="009C1552" w:rsidRPr="00D93585">
        <w:rPr>
          <w:rFonts w:ascii="Garamond" w:hAnsi="Garamond"/>
        </w:rPr>
        <w:t>are</w:t>
      </w:r>
      <w:r w:rsidR="002E3F1A" w:rsidRPr="00D93585">
        <w:rPr>
          <w:rFonts w:ascii="Garamond" w:hAnsi="Garamond"/>
        </w:rPr>
        <w:t xml:space="preserve"> considered. </w:t>
      </w:r>
      <w:r w:rsidR="00A84A06" w:rsidRPr="00D93585">
        <w:rPr>
          <w:rFonts w:ascii="Garamond" w:hAnsi="Garamond"/>
        </w:rPr>
        <w:t xml:space="preserve">Without </w:t>
      </w:r>
      <w:r w:rsidR="009C1552" w:rsidRPr="00D93585">
        <w:rPr>
          <w:rFonts w:ascii="Garamond" w:hAnsi="Garamond"/>
        </w:rPr>
        <w:t>a</w:t>
      </w:r>
      <w:r w:rsidR="00A84A06" w:rsidRPr="00D93585">
        <w:rPr>
          <w:rFonts w:ascii="Garamond" w:hAnsi="Garamond"/>
        </w:rPr>
        <w:t xml:space="preserve"> requirement to consider environmental impact, these changing land uses </w:t>
      </w:r>
      <w:r w:rsidR="00531B52" w:rsidRPr="00D93585">
        <w:rPr>
          <w:rFonts w:ascii="Garamond" w:hAnsi="Garamond"/>
        </w:rPr>
        <w:t>are</w:t>
      </w:r>
      <w:r w:rsidR="00A84A06" w:rsidRPr="00D93585">
        <w:rPr>
          <w:rFonts w:ascii="Garamond" w:hAnsi="Garamond"/>
        </w:rPr>
        <w:t xml:space="preserve"> leading to land fragmentation and diminishing water and air quality.     </w:t>
      </w:r>
      <w:r w:rsidR="00C85218" w:rsidRPr="00D93585">
        <w:rPr>
          <w:rFonts w:ascii="Garamond" w:hAnsi="Garamond"/>
        </w:rPr>
        <w:t xml:space="preserve">  </w:t>
      </w:r>
      <w:r w:rsidRPr="00D93585">
        <w:rPr>
          <w:rFonts w:ascii="Garamond" w:hAnsi="Garamond"/>
        </w:rPr>
        <w:t xml:space="preserve">     </w:t>
      </w:r>
    </w:p>
    <w:p w14:paraId="5C492882" w14:textId="77777777" w:rsidR="00C34960" w:rsidRPr="00D93585" w:rsidRDefault="00C34960" w:rsidP="004A3E68">
      <w:pPr>
        <w:rPr>
          <w:rFonts w:ascii="Garamond" w:hAnsi="Garamond"/>
          <w:b/>
          <w:sz w:val="16"/>
          <w:szCs w:val="16"/>
        </w:rPr>
      </w:pPr>
    </w:p>
    <w:p w14:paraId="7DA3F63D" w14:textId="77777777" w:rsidR="00C34960" w:rsidRPr="00D93585" w:rsidRDefault="00C34960" w:rsidP="004A3E68">
      <w:pPr>
        <w:rPr>
          <w:rFonts w:ascii="Garamond" w:hAnsi="Garamond"/>
          <w:b/>
          <w:color w:val="B40905"/>
        </w:rPr>
      </w:pPr>
      <w:r w:rsidRPr="00D93585">
        <w:rPr>
          <w:rFonts w:ascii="Garamond" w:hAnsi="Garamond"/>
          <w:b/>
          <w:color w:val="B40905"/>
        </w:rPr>
        <w:t>Recent Legislative Activity</w:t>
      </w:r>
    </w:p>
    <w:p w14:paraId="162A7B66" w14:textId="0B910C80" w:rsidR="001C311D" w:rsidRPr="00D93585" w:rsidRDefault="00F05C1B" w:rsidP="004A3E68">
      <w:pPr>
        <w:rPr>
          <w:rFonts w:ascii="Garamond" w:hAnsi="Garamond"/>
        </w:rPr>
      </w:pPr>
      <w:r w:rsidRPr="00D93585">
        <w:rPr>
          <w:rFonts w:ascii="Garamond" w:hAnsi="Garamond"/>
        </w:rPr>
        <w:t>In the 85th Texas Legislature at least twelve bills were introduced dealing with eminent domain.</w:t>
      </w:r>
      <w:r w:rsidR="001C1BBC" w:rsidRPr="00D93585">
        <w:rPr>
          <w:rFonts w:ascii="Garamond" w:hAnsi="Garamond"/>
        </w:rPr>
        <w:t xml:space="preserve"> </w:t>
      </w:r>
      <w:r w:rsidRPr="00D93585">
        <w:rPr>
          <w:rFonts w:ascii="Garamond" w:hAnsi="Garamond"/>
        </w:rPr>
        <w:t>The</w:t>
      </w:r>
      <w:r w:rsidR="001C1BBC" w:rsidRPr="00D93585">
        <w:rPr>
          <w:rFonts w:ascii="Garamond" w:hAnsi="Garamond"/>
        </w:rPr>
        <w:t xml:space="preserve"> </w:t>
      </w:r>
      <w:r w:rsidRPr="00D93585">
        <w:rPr>
          <w:rFonts w:ascii="Garamond" w:hAnsi="Garamond"/>
        </w:rPr>
        <w:t xml:space="preserve">majority of them </w:t>
      </w:r>
      <w:r w:rsidR="009C1552" w:rsidRPr="00D93585">
        <w:rPr>
          <w:rFonts w:ascii="Garamond" w:hAnsi="Garamond"/>
        </w:rPr>
        <w:t>addressed</w:t>
      </w:r>
      <w:r w:rsidR="00AC4AC5" w:rsidRPr="00D93585">
        <w:rPr>
          <w:rFonts w:ascii="Garamond" w:hAnsi="Garamond"/>
        </w:rPr>
        <w:t xml:space="preserve"> property owner rights, such as adding the cost of damages to an appraisal, providing more transparency to property owners, and providing stricter penalties for entities </w:t>
      </w:r>
      <w:r w:rsidR="001C311D" w:rsidRPr="00D93585">
        <w:rPr>
          <w:rFonts w:ascii="Garamond" w:hAnsi="Garamond"/>
        </w:rPr>
        <w:t xml:space="preserve">with eminent domain powers </w:t>
      </w:r>
      <w:r w:rsidR="00AC4AC5" w:rsidRPr="00D93585">
        <w:rPr>
          <w:rFonts w:ascii="Garamond" w:hAnsi="Garamond"/>
        </w:rPr>
        <w:t>for non-compliance with reporting requirements.</w:t>
      </w:r>
      <w:r w:rsidR="001C311D" w:rsidRPr="00D93585">
        <w:rPr>
          <w:rFonts w:ascii="Garamond" w:hAnsi="Garamond"/>
        </w:rPr>
        <w:t xml:space="preserve"> The only bill that moved forward was SB 740, which would have strengthened the Landowner Bill of Rights, but after passing the Senate, it died in the House of Representatives.</w:t>
      </w:r>
    </w:p>
    <w:p w14:paraId="76CCA7A2" w14:textId="6909055D" w:rsidR="00AC4AC5" w:rsidRPr="00D93585" w:rsidRDefault="00AC4AC5" w:rsidP="004A3E68">
      <w:pPr>
        <w:rPr>
          <w:rFonts w:ascii="Garamond" w:hAnsi="Garamond"/>
        </w:rPr>
      </w:pPr>
    </w:p>
    <w:p w14:paraId="7355207D" w14:textId="77777777" w:rsidR="00C34960" w:rsidRPr="00D93585" w:rsidRDefault="00C34960" w:rsidP="00C34960">
      <w:pPr>
        <w:rPr>
          <w:rFonts w:ascii="Garamond" w:hAnsi="Garamond"/>
          <w:b/>
          <w:color w:val="B40905"/>
        </w:rPr>
      </w:pPr>
      <w:r w:rsidRPr="00D93585">
        <w:rPr>
          <w:rFonts w:ascii="Garamond" w:hAnsi="Garamond"/>
          <w:b/>
          <w:color w:val="B40905"/>
        </w:rPr>
        <w:t>What Changes to Eminent Domain Policy Could Be Considered?</w:t>
      </w:r>
    </w:p>
    <w:p w14:paraId="23CC4A75" w14:textId="091E80C9" w:rsidR="00EE6DA6" w:rsidRPr="00D93585" w:rsidRDefault="00AA7AEE" w:rsidP="00D06F82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D93585">
        <w:rPr>
          <w:rFonts w:ascii="Garamond" w:eastAsia="Times New Roman" w:hAnsi="Garamond" w:cstheme="minorHAnsi"/>
        </w:rPr>
        <w:t>Q</w:t>
      </w:r>
      <w:r w:rsidR="00EE6DA6" w:rsidRPr="00D93585">
        <w:rPr>
          <w:rFonts w:ascii="Garamond" w:eastAsia="Times New Roman" w:hAnsi="Garamond" w:cstheme="minorHAnsi"/>
        </w:rPr>
        <w:t>ualifications for entities that can exercise the power of eminent domain</w:t>
      </w:r>
      <w:r w:rsidRPr="00D93585">
        <w:rPr>
          <w:rFonts w:ascii="Garamond" w:eastAsia="Times New Roman" w:hAnsi="Garamond" w:cstheme="minorHAnsi"/>
        </w:rPr>
        <w:t xml:space="preserve"> could be reformed</w:t>
      </w:r>
      <w:r w:rsidR="00AD7AA4" w:rsidRPr="00D93585">
        <w:rPr>
          <w:rFonts w:ascii="Garamond" w:eastAsia="Times New Roman" w:hAnsi="Garamond" w:cstheme="minorHAnsi"/>
        </w:rPr>
        <w:t xml:space="preserve"> and </w:t>
      </w:r>
      <w:r w:rsidRPr="00D93585">
        <w:rPr>
          <w:rFonts w:ascii="Garamond" w:eastAsia="Times New Roman" w:hAnsi="Garamond" w:cstheme="minorHAnsi"/>
        </w:rPr>
        <w:t>c</w:t>
      </w:r>
      <w:r w:rsidR="00EE6DA6" w:rsidRPr="00D93585">
        <w:rPr>
          <w:rFonts w:ascii="Garamond" w:eastAsia="Times New Roman" w:hAnsi="Garamond" w:cstheme="minorHAnsi"/>
        </w:rPr>
        <w:t>ould require elected officials as decision-makers</w:t>
      </w:r>
      <w:r w:rsidRPr="00D93585">
        <w:rPr>
          <w:rFonts w:ascii="Garamond" w:eastAsia="Times New Roman" w:hAnsi="Garamond" w:cstheme="minorHAnsi"/>
        </w:rPr>
        <w:t>, not private entities</w:t>
      </w:r>
      <w:r w:rsidR="00EE6DA6" w:rsidRPr="00D93585">
        <w:rPr>
          <w:rFonts w:ascii="Garamond" w:eastAsia="Times New Roman" w:hAnsi="Garamond" w:cstheme="minorHAnsi"/>
        </w:rPr>
        <w:t xml:space="preserve">. </w:t>
      </w:r>
    </w:p>
    <w:p w14:paraId="6F512578" w14:textId="77777777" w:rsidR="00C34960" w:rsidRPr="00D93585" w:rsidRDefault="00C34960" w:rsidP="00C3496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93585">
        <w:rPr>
          <w:rFonts w:ascii="Garamond" w:hAnsi="Garamond"/>
        </w:rPr>
        <w:t>Definitions like “public use” and “public purpose” could be tightened to mean government owned and operated property, rather than property that is used to generate income.</w:t>
      </w:r>
    </w:p>
    <w:p w14:paraId="17176AED" w14:textId="01978BF6" w:rsidR="00AA7AEE" w:rsidRPr="00D93585" w:rsidRDefault="00AA7AEE" w:rsidP="00C3496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93585">
        <w:rPr>
          <w:rFonts w:ascii="Garamond" w:hAnsi="Garamond"/>
        </w:rPr>
        <w:t xml:space="preserve">Consideration of environmental impacts could be required </w:t>
      </w:r>
      <w:r w:rsidR="00AD7AA4" w:rsidRPr="00D93585">
        <w:rPr>
          <w:rFonts w:ascii="Garamond" w:hAnsi="Garamond"/>
        </w:rPr>
        <w:t>in</w:t>
      </w:r>
      <w:r w:rsidRPr="00D93585">
        <w:rPr>
          <w:rFonts w:ascii="Garamond" w:hAnsi="Garamond"/>
        </w:rPr>
        <w:t xml:space="preserve"> eminent domain proceedings.</w:t>
      </w:r>
    </w:p>
    <w:p w14:paraId="786DC329" w14:textId="24493687" w:rsidR="000C2ACE" w:rsidRPr="00D93585" w:rsidRDefault="000C2ACE" w:rsidP="00C3496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93585">
        <w:rPr>
          <w:rFonts w:ascii="Garamond" w:hAnsi="Garamond"/>
        </w:rPr>
        <w:t xml:space="preserve">Property under a conservation easement could be exempted from </w:t>
      </w:r>
      <w:r w:rsidR="00AD7AA4" w:rsidRPr="00D93585">
        <w:rPr>
          <w:rFonts w:ascii="Garamond" w:hAnsi="Garamond"/>
        </w:rPr>
        <w:t>condemnation</w:t>
      </w:r>
      <w:r w:rsidRPr="00D93585">
        <w:rPr>
          <w:rFonts w:ascii="Garamond" w:hAnsi="Garamond"/>
        </w:rPr>
        <w:t>.</w:t>
      </w:r>
    </w:p>
    <w:p w14:paraId="25E4FD86" w14:textId="77777777" w:rsidR="00AA7AEE" w:rsidRPr="00D93585" w:rsidRDefault="00AA7AEE" w:rsidP="00C34960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93585">
        <w:rPr>
          <w:rFonts w:ascii="Garamond" w:hAnsi="Garamond"/>
        </w:rPr>
        <w:t>Landowner rights could be strengthened by:</w:t>
      </w:r>
    </w:p>
    <w:p w14:paraId="67A38D2A" w14:textId="52EC7443" w:rsidR="00C34960" w:rsidRPr="00D93585" w:rsidRDefault="00AD7AA4" w:rsidP="00D06F82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D93585">
        <w:rPr>
          <w:rFonts w:ascii="Garamond" w:hAnsi="Garamond"/>
        </w:rPr>
        <w:t>Holding c</w:t>
      </w:r>
      <w:r w:rsidR="00C34960" w:rsidRPr="00D93585">
        <w:rPr>
          <w:rFonts w:ascii="Garamond" w:hAnsi="Garamond"/>
        </w:rPr>
        <w:t>ondemning entities accountable for making initial fair value offers</w:t>
      </w:r>
      <w:r w:rsidR="00D55E81" w:rsidRPr="00D93585">
        <w:rPr>
          <w:rFonts w:ascii="Garamond" w:hAnsi="Garamond"/>
        </w:rPr>
        <w:t xml:space="preserve"> or r</w:t>
      </w:r>
      <w:r w:rsidRPr="00D93585">
        <w:rPr>
          <w:rFonts w:ascii="Garamond" w:hAnsi="Garamond"/>
        </w:rPr>
        <w:t>equiring the</w:t>
      </w:r>
      <w:r w:rsidR="00C34960" w:rsidRPr="00D93585">
        <w:rPr>
          <w:rFonts w:ascii="Garamond" w:hAnsi="Garamond"/>
        </w:rPr>
        <w:t xml:space="preserve"> condemning </w:t>
      </w:r>
      <w:r w:rsidRPr="00D93585">
        <w:rPr>
          <w:rFonts w:ascii="Garamond" w:hAnsi="Garamond"/>
        </w:rPr>
        <w:t>entity to pay all of a land</w:t>
      </w:r>
      <w:r w:rsidR="00C34960" w:rsidRPr="00D93585">
        <w:rPr>
          <w:rFonts w:ascii="Garamond" w:hAnsi="Garamond"/>
        </w:rPr>
        <w:t>owner’s expenses</w:t>
      </w:r>
      <w:r w:rsidR="00D55E81" w:rsidRPr="00D93585">
        <w:rPr>
          <w:rFonts w:ascii="Garamond" w:hAnsi="Garamond"/>
        </w:rPr>
        <w:t>.</w:t>
      </w:r>
    </w:p>
    <w:p w14:paraId="086B77BA" w14:textId="54350D16" w:rsidR="00C34960" w:rsidRPr="00D93585" w:rsidRDefault="00D55E81" w:rsidP="00D06F82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D93585">
        <w:rPr>
          <w:rFonts w:ascii="Garamond" w:hAnsi="Garamond"/>
        </w:rPr>
        <w:t>Giving landowners</w:t>
      </w:r>
      <w:r w:rsidR="00C34960" w:rsidRPr="00D93585">
        <w:rPr>
          <w:rFonts w:ascii="Garamond" w:hAnsi="Garamond"/>
        </w:rPr>
        <w:t xml:space="preserve"> an option to receive periodic rent payments from revenue-generating projects like utilities, economic development projects and pipelines.</w:t>
      </w:r>
    </w:p>
    <w:p w14:paraId="1DDCCA87" w14:textId="1243E5F4" w:rsidR="00C34960" w:rsidRPr="00D93585" w:rsidRDefault="00D55E81" w:rsidP="00D06F82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D93585">
        <w:rPr>
          <w:rFonts w:ascii="Garamond" w:hAnsi="Garamond"/>
        </w:rPr>
        <w:t>Giving landowners</w:t>
      </w:r>
      <w:r w:rsidR="00C34960" w:rsidRPr="00D93585">
        <w:rPr>
          <w:rFonts w:ascii="Garamond" w:hAnsi="Garamond"/>
        </w:rPr>
        <w:t xml:space="preserve"> the option to reclaim their property if it is not used for its intended purpose within a set period of time for the price that was paid to them.</w:t>
      </w:r>
    </w:p>
    <w:p w14:paraId="3A525A1C" w14:textId="1EAE0EBA" w:rsidR="00C34960" w:rsidRPr="00D93585" w:rsidRDefault="00D55E81" w:rsidP="00D06F82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D93585">
        <w:rPr>
          <w:rFonts w:ascii="Garamond" w:hAnsi="Garamond"/>
        </w:rPr>
        <w:t>Requiring condemning entities</w:t>
      </w:r>
      <w:r w:rsidR="00C34960" w:rsidRPr="00D93585">
        <w:rPr>
          <w:rFonts w:ascii="Garamond" w:hAnsi="Garamond"/>
        </w:rPr>
        <w:t xml:space="preserve"> to be more transparent with project disclosures and provide more information to landowners than the Landowner Bill of Rights.</w:t>
      </w:r>
    </w:p>
    <w:p w14:paraId="0457BF70" w14:textId="22B5E65B" w:rsidR="00C34960" w:rsidRPr="00D93585" w:rsidRDefault="00D55E81" w:rsidP="00D06F82">
      <w:pPr>
        <w:pStyle w:val="ListParagraph"/>
        <w:numPr>
          <w:ilvl w:val="0"/>
          <w:numId w:val="2"/>
        </w:numPr>
        <w:ind w:left="1080"/>
        <w:rPr>
          <w:rFonts w:ascii="Garamond" w:hAnsi="Garamond"/>
        </w:rPr>
      </w:pPr>
      <w:r w:rsidRPr="00D93585">
        <w:rPr>
          <w:rFonts w:ascii="Garamond" w:hAnsi="Garamond"/>
        </w:rPr>
        <w:t>Increasing accountability for p</w:t>
      </w:r>
      <w:r w:rsidR="00C34960" w:rsidRPr="00D93585">
        <w:rPr>
          <w:rFonts w:ascii="Garamond" w:hAnsi="Garamond"/>
        </w:rPr>
        <w:t>rivate condemn</w:t>
      </w:r>
      <w:r w:rsidR="00BE466C" w:rsidRPr="00D93585">
        <w:rPr>
          <w:rFonts w:ascii="Garamond" w:hAnsi="Garamond"/>
        </w:rPr>
        <w:t>ation</w:t>
      </w:r>
      <w:r w:rsidR="00C34960" w:rsidRPr="00D93585">
        <w:rPr>
          <w:rFonts w:ascii="Garamond" w:hAnsi="Garamond"/>
        </w:rPr>
        <w:t xml:space="preserve"> </w:t>
      </w:r>
      <w:r w:rsidRPr="00D93585">
        <w:rPr>
          <w:rFonts w:ascii="Garamond" w:hAnsi="Garamond"/>
        </w:rPr>
        <w:t xml:space="preserve">regarding </w:t>
      </w:r>
      <w:r w:rsidR="00C34960" w:rsidRPr="00D93585">
        <w:rPr>
          <w:rFonts w:ascii="Garamond" w:hAnsi="Garamond"/>
        </w:rPr>
        <w:t>the</w:t>
      </w:r>
      <w:r w:rsidRPr="00D93585">
        <w:rPr>
          <w:rFonts w:ascii="Garamond" w:hAnsi="Garamond"/>
        </w:rPr>
        <w:t>ir</w:t>
      </w:r>
      <w:r w:rsidR="00C34960" w:rsidRPr="00D93585">
        <w:rPr>
          <w:rFonts w:ascii="Garamond" w:hAnsi="Garamond"/>
        </w:rPr>
        <w:t xml:space="preserve"> exercise of eminent domain authority and the projects that follow.</w:t>
      </w:r>
    </w:p>
    <w:p w14:paraId="04091562" w14:textId="67724E92" w:rsidR="00D93585" w:rsidRPr="00D93585" w:rsidRDefault="00213D5D" w:rsidP="00AC51C7">
      <w:pPr>
        <w:rPr>
          <w:rFonts w:ascii="Garamond" w:hAnsi="Garamond"/>
          <w:b/>
        </w:rPr>
      </w:pPr>
      <w:proofErr w:type="spellStart"/>
      <w:r>
        <w:rPr>
          <w:rFonts w:ascii="Garamond" w:hAnsi="Garamond"/>
          <w:b/>
        </w:rPr>
        <w:t>Jensie</w:t>
      </w:r>
      <w:proofErr w:type="spellEnd"/>
      <w:r>
        <w:rPr>
          <w:rFonts w:ascii="Garamond" w:hAnsi="Garamond"/>
          <w:b/>
        </w:rPr>
        <w:t xml:space="preserve"> Madden LWVTX Land Use Issue Chair</w:t>
      </w:r>
    </w:p>
    <w:p w14:paraId="5AF44119" w14:textId="77777777" w:rsidR="00213D5D" w:rsidRDefault="00213D5D" w:rsidP="00AC51C7">
      <w:pPr>
        <w:rPr>
          <w:rFonts w:ascii="Garamond" w:hAnsi="Garamond"/>
          <w:b/>
        </w:rPr>
      </w:pPr>
    </w:p>
    <w:p w14:paraId="6FE23532" w14:textId="77777777" w:rsidR="00213D5D" w:rsidRDefault="00213D5D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1A79D1D3" w14:textId="273D25DC" w:rsidR="00AC51C7" w:rsidRPr="00D93585" w:rsidRDefault="00AC51C7" w:rsidP="00AC51C7">
      <w:pPr>
        <w:rPr>
          <w:rFonts w:ascii="Garamond" w:hAnsi="Garamond"/>
          <w:b/>
        </w:rPr>
      </w:pPr>
      <w:r w:rsidRPr="00D93585">
        <w:rPr>
          <w:rFonts w:ascii="Garamond" w:hAnsi="Garamond"/>
          <w:b/>
        </w:rPr>
        <w:lastRenderedPageBreak/>
        <w:t>Bibliography</w:t>
      </w:r>
    </w:p>
    <w:p w14:paraId="63E6DD86" w14:textId="493371DB" w:rsidR="00AC51C7" w:rsidRPr="00D93585" w:rsidRDefault="0038297A" w:rsidP="00AC51C7">
      <w:pPr>
        <w:rPr>
          <w:rFonts w:ascii="Garamond" w:hAnsi="Garamond" w:cs="Calibri"/>
          <w:color w:val="1F497D"/>
        </w:rPr>
      </w:pPr>
      <w:proofErr w:type="spellStart"/>
      <w:r w:rsidRPr="00D93585">
        <w:rPr>
          <w:rFonts w:ascii="Garamond" w:hAnsi="Garamond" w:cs="Calibri"/>
          <w:color w:val="1F497D"/>
        </w:rPr>
        <w:t>Biersdorf</w:t>
      </w:r>
      <w:proofErr w:type="spellEnd"/>
      <w:r w:rsidRPr="00D93585">
        <w:rPr>
          <w:rFonts w:ascii="Garamond" w:hAnsi="Garamond" w:cs="Calibri"/>
          <w:color w:val="1F497D"/>
        </w:rPr>
        <w:t xml:space="preserve"> &amp; Associates: “Learn More About the Texas Eminent Domain Law.”</w:t>
      </w:r>
    </w:p>
    <w:p w14:paraId="004BAAF6" w14:textId="3E1A24E5" w:rsidR="0038297A" w:rsidRPr="00D93585" w:rsidRDefault="00213D5D" w:rsidP="00AC51C7">
      <w:pPr>
        <w:rPr>
          <w:rFonts w:ascii="Garamond" w:hAnsi="Garamond"/>
        </w:rPr>
      </w:pPr>
      <w:hyperlink r:id="rId10" w:history="1">
        <w:r w:rsidR="0038297A" w:rsidRPr="00D93585">
          <w:rPr>
            <w:rStyle w:val="Hyperlink"/>
            <w:rFonts w:ascii="Garamond" w:hAnsi="Garamond"/>
          </w:rPr>
          <w:t>https://www.condemnation-law.com/texas-eminent-domain-attorney/</w:t>
        </w:r>
      </w:hyperlink>
      <w:r w:rsidR="00D06F82" w:rsidRPr="00D93585">
        <w:rPr>
          <w:rFonts w:ascii="Garamond" w:hAnsi="Garamond"/>
        </w:rPr>
        <w:t>. Last accessed 9/27/18.</w:t>
      </w:r>
    </w:p>
    <w:p w14:paraId="13C4CDB2" w14:textId="77777777" w:rsidR="0038297A" w:rsidRPr="00D93585" w:rsidRDefault="0038297A" w:rsidP="00AC51C7">
      <w:pPr>
        <w:rPr>
          <w:rFonts w:ascii="Garamond" w:hAnsi="Garamond"/>
        </w:rPr>
      </w:pPr>
    </w:p>
    <w:p w14:paraId="7AB92892" w14:textId="21A3CD53" w:rsidR="00AC51C7" w:rsidRPr="00D93585" w:rsidRDefault="00784165" w:rsidP="00AC51C7">
      <w:pPr>
        <w:rPr>
          <w:rFonts w:ascii="Garamond" w:hAnsi="Garamond"/>
        </w:rPr>
      </w:pPr>
      <w:proofErr w:type="spellStart"/>
      <w:r w:rsidRPr="00D93585">
        <w:rPr>
          <w:rFonts w:ascii="Garamond" w:hAnsi="Garamond"/>
        </w:rPr>
        <w:t>Britin</w:t>
      </w:r>
      <w:proofErr w:type="spellEnd"/>
      <w:r w:rsidRPr="00D93585">
        <w:rPr>
          <w:rFonts w:ascii="Garamond" w:hAnsi="Garamond"/>
        </w:rPr>
        <w:t xml:space="preserve"> Bostick. 2016. </w:t>
      </w:r>
      <w:r w:rsidR="00AC51C7" w:rsidRPr="00D93585">
        <w:rPr>
          <w:rFonts w:ascii="Garamond" w:hAnsi="Garamond"/>
          <w:i/>
        </w:rPr>
        <w:t>How Eminent Domain Abuse is Destroying Texas’ Most Valuable Landscapes: The Growing Threat to the Lone Star State</w:t>
      </w:r>
      <w:r w:rsidR="000361F4" w:rsidRPr="00D93585">
        <w:rPr>
          <w:rFonts w:ascii="Garamond" w:hAnsi="Garamond"/>
          <w:i/>
        </w:rPr>
        <w:t>.</w:t>
      </w:r>
    </w:p>
    <w:p w14:paraId="2C5655FD" w14:textId="0C064A59" w:rsidR="00AC51C7" w:rsidRPr="00D93585" w:rsidRDefault="00213D5D" w:rsidP="00AC51C7">
      <w:pPr>
        <w:rPr>
          <w:rFonts w:ascii="Garamond" w:hAnsi="Garamond"/>
        </w:rPr>
      </w:pPr>
      <w:hyperlink r:id="rId11" w:history="1">
        <w:r w:rsidR="005F49AC" w:rsidRPr="00D93585">
          <w:rPr>
            <w:rStyle w:val="Hyperlink"/>
            <w:rFonts w:ascii="Garamond" w:hAnsi="Garamond"/>
          </w:rPr>
          <w:t>https://static1.squarespace.com/static/56da0e71b654f9ca48a3c08e/t/5785643315d5dbb0fab26d56/1468359745385/How+Eminent+Domain+Abuse+is+Destroying+Texas%E2%80%99+Most+Valuable+Landscapes.pdf</w:t>
        </w:r>
      </w:hyperlink>
      <w:r w:rsidR="00D06F82" w:rsidRPr="00D93585">
        <w:rPr>
          <w:rFonts w:ascii="Garamond" w:hAnsi="Garamond"/>
        </w:rPr>
        <w:t>. Last accessed 9/27/18.</w:t>
      </w:r>
    </w:p>
    <w:p w14:paraId="176AEB8B" w14:textId="77777777" w:rsidR="005F49AC" w:rsidRPr="00D93585" w:rsidRDefault="005F49AC" w:rsidP="00AC51C7">
      <w:pPr>
        <w:rPr>
          <w:rFonts w:ascii="Garamond" w:hAnsi="Garamond"/>
        </w:rPr>
      </w:pPr>
    </w:p>
    <w:p w14:paraId="73AB1F85" w14:textId="77777777" w:rsidR="000361F4" w:rsidRPr="00D93585" w:rsidRDefault="000361F4" w:rsidP="000361F4">
      <w:pPr>
        <w:rPr>
          <w:rFonts w:ascii="Garamond" w:hAnsi="Garamond"/>
        </w:rPr>
      </w:pPr>
      <w:r w:rsidRPr="00D93585">
        <w:rPr>
          <w:rFonts w:ascii="Garamond" w:hAnsi="Garamond"/>
        </w:rPr>
        <w:t>Marshall Jones. 2005. “Endangered Species Act and Incentives for Landowners,” testimony of U.S. Fish and Wildlife Service to the U.S. Senate Subcommittee on the Environment and Public Works.</w:t>
      </w:r>
    </w:p>
    <w:p w14:paraId="240B075B" w14:textId="77777777" w:rsidR="00D06F82" w:rsidRPr="00D93585" w:rsidRDefault="00213D5D" w:rsidP="00D06F82">
      <w:pPr>
        <w:rPr>
          <w:rFonts w:ascii="Garamond" w:hAnsi="Garamond"/>
        </w:rPr>
      </w:pPr>
      <w:hyperlink r:id="rId12" w:history="1">
        <w:r w:rsidR="000361F4" w:rsidRPr="00D93585">
          <w:rPr>
            <w:rStyle w:val="Hyperlink"/>
            <w:rFonts w:ascii="Garamond" w:hAnsi="Garamond"/>
          </w:rPr>
          <w:t>https://www.doi.gov/ocl/endangered-species-act</w:t>
        </w:r>
      </w:hyperlink>
      <w:r w:rsidR="00D06F82" w:rsidRPr="00D93585">
        <w:rPr>
          <w:rFonts w:ascii="Garamond" w:hAnsi="Garamond"/>
        </w:rPr>
        <w:t>. Last accessed 9/27/18.</w:t>
      </w:r>
    </w:p>
    <w:p w14:paraId="5625E774" w14:textId="77777777" w:rsidR="00D06F82" w:rsidRPr="00D93585" w:rsidRDefault="00D06F82" w:rsidP="00D06F82">
      <w:pPr>
        <w:rPr>
          <w:rFonts w:ascii="Garamond" w:hAnsi="Garamond"/>
        </w:rPr>
      </w:pPr>
    </w:p>
    <w:p w14:paraId="3CFA4BE5" w14:textId="71F31BFF" w:rsidR="00AC51C7" w:rsidRPr="00D93585" w:rsidRDefault="00AC51C7" w:rsidP="00AC51C7">
      <w:pPr>
        <w:rPr>
          <w:rFonts w:ascii="Garamond" w:hAnsi="Garamond"/>
        </w:rPr>
      </w:pPr>
      <w:r w:rsidRPr="00D93585">
        <w:rPr>
          <w:rFonts w:ascii="Garamond" w:hAnsi="Garamond"/>
        </w:rPr>
        <w:t>State of Texas Landowners Bill of Rights (Prepared by the office of the Attorney General)</w:t>
      </w:r>
    </w:p>
    <w:p w14:paraId="564458CC" w14:textId="77777777" w:rsidR="001C384C" w:rsidRPr="00D93585" w:rsidRDefault="00213D5D" w:rsidP="001C384C">
      <w:pPr>
        <w:rPr>
          <w:rFonts w:ascii="Garamond" w:hAnsi="Garamond"/>
        </w:rPr>
      </w:pPr>
      <w:hyperlink r:id="rId13" w:history="1">
        <w:r w:rsidR="00D505C8" w:rsidRPr="00D93585">
          <w:rPr>
            <w:rStyle w:val="Hyperlink"/>
            <w:rFonts w:ascii="Garamond" w:hAnsi="Garamond"/>
          </w:rPr>
          <w:t>https://www.texasattorneygeneral.gov/sites/default/files/files/divisions/general-oag/LandownersBillofRights.pdf</w:t>
        </w:r>
      </w:hyperlink>
      <w:r w:rsidR="001C384C" w:rsidRPr="00D93585">
        <w:rPr>
          <w:rFonts w:ascii="Garamond" w:hAnsi="Garamond"/>
        </w:rPr>
        <w:t>. Last accessed 9/27/18.</w:t>
      </w:r>
    </w:p>
    <w:p w14:paraId="170F5BDC" w14:textId="77777777" w:rsidR="001C384C" w:rsidRPr="00D93585" w:rsidRDefault="001C384C" w:rsidP="001C384C">
      <w:pPr>
        <w:rPr>
          <w:rFonts w:ascii="Garamond" w:hAnsi="Garamond"/>
        </w:rPr>
      </w:pPr>
    </w:p>
    <w:p w14:paraId="504AEC4A" w14:textId="2849ECE5" w:rsidR="00B202FB" w:rsidRPr="00D93585" w:rsidRDefault="00B202FB">
      <w:pPr>
        <w:rPr>
          <w:rFonts w:ascii="Garamond" w:hAnsi="Garamond"/>
        </w:rPr>
      </w:pPr>
      <w:r w:rsidRPr="00D93585">
        <w:rPr>
          <w:rFonts w:ascii="Garamond" w:hAnsi="Garamond"/>
        </w:rPr>
        <w:t>Texans for Property Rights – Resources</w:t>
      </w:r>
    </w:p>
    <w:p w14:paraId="194CC17A" w14:textId="77777777" w:rsidR="001C384C" w:rsidRPr="00D93585" w:rsidRDefault="00213D5D" w:rsidP="001C384C">
      <w:pPr>
        <w:rPr>
          <w:rFonts w:ascii="Garamond" w:hAnsi="Garamond"/>
        </w:rPr>
      </w:pPr>
      <w:hyperlink r:id="rId14" w:history="1">
        <w:r w:rsidR="00D505C8" w:rsidRPr="00D93585">
          <w:rPr>
            <w:rStyle w:val="Hyperlink"/>
            <w:rFonts w:ascii="Garamond" w:hAnsi="Garamond"/>
          </w:rPr>
          <w:t>http://www.texansforpropertyrights.com/resources/</w:t>
        </w:r>
      </w:hyperlink>
      <w:r w:rsidR="001C384C" w:rsidRPr="00D93585">
        <w:rPr>
          <w:rFonts w:ascii="Garamond" w:hAnsi="Garamond"/>
        </w:rPr>
        <w:t>. Last accessed 9/27/18.</w:t>
      </w:r>
    </w:p>
    <w:p w14:paraId="30A73173" w14:textId="77777777" w:rsidR="001C384C" w:rsidRPr="00D93585" w:rsidRDefault="001C384C" w:rsidP="001C384C">
      <w:pPr>
        <w:rPr>
          <w:rFonts w:ascii="Garamond" w:hAnsi="Garamond"/>
        </w:rPr>
      </w:pPr>
    </w:p>
    <w:p w14:paraId="264F27BB" w14:textId="3F5B6366" w:rsidR="00AC51C7" w:rsidRPr="00D93585" w:rsidRDefault="00D40476" w:rsidP="00AC51C7">
      <w:pPr>
        <w:rPr>
          <w:rFonts w:ascii="Garamond" w:hAnsi="Garamond"/>
          <w:i/>
        </w:rPr>
      </w:pPr>
      <w:r w:rsidRPr="00D93585">
        <w:rPr>
          <w:rFonts w:ascii="Garamond" w:hAnsi="Garamond"/>
        </w:rPr>
        <w:t xml:space="preserve">Texas </w:t>
      </w:r>
      <w:r w:rsidR="00AC51C7" w:rsidRPr="00D93585">
        <w:rPr>
          <w:rFonts w:ascii="Garamond" w:hAnsi="Garamond"/>
        </w:rPr>
        <w:t>A&amp;M University School of Law</w:t>
      </w:r>
      <w:r w:rsidR="00EB3E9A" w:rsidRPr="00D93585">
        <w:rPr>
          <w:rFonts w:ascii="Garamond" w:hAnsi="Garamond"/>
        </w:rPr>
        <w:t xml:space="preserve">. </w:t>
      </w:r>
      <w:r w:rsidR="000361F4" w:rsidRPr="00D93585">
        <w:rPr>
          <w:rFonts w:ascii="Garamond" w:hAnsi="Garamond"/>
        </w:rPr>
        <w:t xml:space="preserve">2017. </w:t>
      </w:r>
      <w:r w:rsidR="00AC51C7" w:rsidRPr="00D93585">
        <w:rPr>
          <w:rFonts w:ascii="Garamond" w:hAnsi="Garamond"/>
          <w:i/>
        </w:rPr>
        <w:t xml:space="preserve">Law </w:t>
      </w:r>
      <w:r w:rsidR="000361F4" w:rsidRPr="00D93585">
        <w:rPr>
          <w:rFonts w:ascii="Garamond" w:hAnsi="Garamond"/>
          <w:i/>
        </w:rPr>
        <w:t>a</w:t>
      </w:r>
      <w:r w:rsidR="00AC51C7" w:rsidRPr="00D93585">
        <w:rPr>
          <w:rFonts w:ascii="Garamond" w:hAnsi="Garamond"/>
          <w:i/>
        </w:rPr>
        <w:t xml:space="preserve">nd Policy Resource Guide: A Survey </w:t>
      </w:r>
      <w:r w:rsidRPr="00D93585">
        <w:rPr>
          <w:rFonts w:ascii="Garamond" w:hAnsi="Garamond"/>
          <w:i/>
        </w:rPr>
        <w:t>o</w:t>
      </w:r>
      <w:r w:rsidR="00AC51C7" w:rsidRPr="00D93585">
        <w:rPr>
          <w:rFonts w:ascii="Garamond" w:hAnsi="Garamond"/>
          <w:i/>
        </w:rPr>
        <w:t xml:space="preserve">f Eminent Domain Law </w:t>
      </w:r>
      <w:r w:rsidRPr="00D93585">
        <w:rPr>
          <w:rFonts w:ascii="Garamond" w:hAnsi="Garamond"/>
          <w:i/>
        </w:rPr>
        <w:t>i</w:t>
      </w:r>
      <w:r w:rsidR="00AC51C7" w:rsidRPr="00D93585">
        <w:rPr>
          <w:rFonts w:ascii="Garamond" w:hAnsi="Garamond"/>
          <w:i/>
        </w:rPr>
        <w:t xml:space="preserve">n Texas </w:t>
      </w:r>
      <w:r w:rsidRPr="00D93585">
        <w:rPr>
          <w:rFonts w:ascii="Garamond" w:hAnsi="Garamond"/>
          <w:i/>
        </w:rPr>
        <w:t>a</w:t>
      </w:r>
      <w:r w:rsidR="00AC51C7" w:rsidRPr="00D93585">
        <w:rPr>
          <w:rFonts w:ascii="Garamond" w:hAnsi="Garamond"/>
          <w:i/>
        </w:rPr>
        <w:t xml:space="preserve">nd </w:t>
      </w:r>
      <w:r w:rsidRPr="00D93585">
        <w:rPr>
          <w:rFonts w:ascii="Garamond" w:hAnsi="Garamond"/>
          <w:i/>
        </w:rPr>
        <w:t>t</w:t>
      </w:r>
      <w:r w:rsidR="00AC51C7" w:rsidRPr="00D93585">
        <w:rPr>
          <w:rFonts w:ascii="Garamond" w:hAnsi="Garamond"/>
          <w:i/>
        </w:rPr>
        <w:t>he Nation</w:t>
      </w:r>
      <w:r w:rsidR="000361F4" w:rsidRPr="00D93585">
        <w:rPr>
          <w:rFonts w:ascii="Garamond" w:hAnsi="Garamond"/>
          <w:i/>
        </w:rPr>
        <w:t>.</w:t>
      </w:r>
    </w:p>
    <w:p w14:paraId="1B07B714" w14:textId="77777777" w:rsidR="001C384C" w:rsidRPr="00D93585" w:rsidRDefault="00213D5D" w:rsidP="001C384C">
      <w:pPr>
        <w:rPr>
          <w:rFonts w:ascii="Garamond" w:hAnsi="Garamond"/>
        </w:rPr>
      </w:pPr>
      <w:hyperlink r:id="rId15" w:history="1">
        <w:r w:rsidR="00D40476" w:rsidRPr="00D93585">
          <w:rPr>
            <w:rStyle w:val="Hyperlink"/>
            <w:rFonts w:ascii="Garamond" w:hAnsi="Garamond"/>
          </w:rPr>
          <w:t>https://law.tamu.edu/prospective/academics/centers-clinics-programs/natural-resources/reports-publications/eminent-domain-law</w:t>
        </w:r>
      </w:hyperlink>
      <w:r w:rsidR="001C384C" w:rsidRPr="00D93585">
        <w:rPr>
          <w:rFonts w:ascii="Garamond" w:hAnsi="Garamond"/>
        </w:rPr>
        <w:t>. Last accessed 9/27/18.</w:t>
      </w:r>
    </w:p>
    <w:p w14:paraId="12072A4C" w14:textId="77777777" w:rsidR="001C384C" w:rsidRPr="00D93585" w:rsidRDefault="001C384C" w:rsidP="001C384C">
      <w:pPr>
        <w:rPr>
          <w:rFonts w:ascii="Garamond" w:hAnsi="Garamond"/>
        </w:rPr>
      </w:pPr>
    </w:p>
    <w:p w14:paraId="1C8ABC85" w14:textId="5CCDF271" w:rsidR="00D40476" w:rsidRPr="00D93585" w:rsidRDefault="00D40476" w:rsidP="00AC51C7">
      <w:pPr>
        <w:rPr>
          <w:rFonts w:ascii="Garamond" w:hAnsi="Garamond"/>
        </w:rPr>
      </w:pPr>
      <w:r w:rsidRPr="00D93585">
        <w:rPr>
          <w:rFonts w:ascii="Garamond" w:hAnsi="Garamond" w:cs="Calibri"/>
          <w:color w:val="1F497D"/>
        </w:rPr>
        <w:t>Texas A&amp;M AgriLife Extension. Agricultural Law Blog: “Eminent Domain in Texas (Part 1)—What Is it?”</w:t>
      </w:r>
    </w:p>
    <w:p w14:paraId="5057B615" w14:textId="77777777" w:rsidR="001C384C" w:rsidRPr="00D93585" w:rsidRDefault="00213D5D" w:rsidP="001C384C">
      <w:pPr>
        <w:rPr>
          <w:rFonts w:ascii="Garamond" w:hAnsi="Garamond"/>
        </w:rPr>
      </w:pPr>
      <w:hyperlink r:id="rId16" w:history="1">
        <w:r w:rsidR="00D40476" w:rsidRPr="00D93585">
          <w:rPr>
            <w:rStyle w:val="Hyperlink"/>
            <w:rFonts w:ascii="Garamond" w:hAnsi="Garamond"/>
          </w:rPr>
          <w:t>https://agrilife.org/texasaglaw/2014/03/17/eminent-domain-in-texas-part-1-what-is-it/</w:t>
        </w:r>
      </w:hyperlink>
      <w:r w:rsidR="001C384C" w:rsidRPr="00D93585">
        <w:rPr>
          <w:rFonts w:ascii="Garamond" w:hAnsi="Garamond"/>
        </w:rPr>
        <w:t>. Last accessed 9/27/18.</w:t>
      </w:r>
    </w:p>
    <w:p w14:paraId="4FF126FC" w14:textId="77777777" w:rsidR="001C384C" w:rsidRPr="00D93585" w:rsidRDefault="001C384C" w:rsidP="001C384C">
      <w:pPr>
        <w:rPr>
          <w:rFonts w:ascii="Garamond" w:hAnsi="Garamond"/>
        </w:rPr>
      </w:pPr>
    </w:p>
    <w:p w14:paraId="2334CC8C" w14:textId="58C08732" w:rsidR="00B202FB" w:rsidRPr="00D93585" w:rsidRDefault="00B202FB" w:rsidP="00AC51C7">
      <w:pPr>
        <w:rPr>
          <w:rFonts w:ascii="Garamond" w:hAnsi="Garamond"/>
        </w:rPr>
      </w:pPr>
      <w:r w:rsidRPr="00D93585">
        <w:rPr>
          <w:rFonts w:ascii="Garamond" w:hAnsi="Garamond"/>
        </w:rPr>
        <w:t>Texas Farm Bureau</w:t>
      </w:r>
      <w:r w:rsidR="000361F4" w:rsidRPr="00D93585">
        <w:rPr>
          <w:rFonts w:ascii="Garamond" w:hAnsi="Garamond"/>
        </w:rPr>
        <w:t>. 2018.</w:t>
      </w:r>
      <w:r w:rsidRPr="00D93585">
        <w:rPr>
          <w:rFonts w:ascii="Garamond" w:hAnsi="Garamond"/>
        </w:rPr>
        <w:t xml:space="preserve"> Your Texas Agriculture Minute – </w:t>
      </w:r>
      <w:r w:rsidR="000361F4" w:rsidRPr="00D93585">
        <w:rPr>
          <w:rFonts w:ascii="Garamond" w:hAnsi="Garamond"/>
        </w:rPr>
        <w:t>“</w:t>
      </w:r>
      <w:r w:rsidRPr="00D93585">
        <w:rPr>
          <w:rFonts w:ascii="Garamond" w:hAnsi="Garamond"/>
        </w:rPr>
        <w:t>Eminent Domain Remains a Threat to Property Owners</w:t>
      </w:r>
      <w:r w:rsidR="000361F4" w:rsidRPr="00D93585">
        <w:rPr>
          <w:rFonts w:ascii="Garamond" w:hAnsi="Garamond"/>
        </w:rPr>
        <w:t>.”</w:t>
      </w:r>
    </w:p>
    <w:p w14:paraId="265CD035" w14:textId="77777777" w:rsidR="001C384C" w:rsidRPr="00D93585" w:rsidRDefault="00213D5D" w:rsidP="001C384C">
      <w:pPr>
        <w:rPr>
          <w:rFonts w:ascii="Garamond" w:hAnsi="Garamond"/>
        </w:rPr>
      </w:pPr>
      <w:hyperlink r:id="rId17" w:history="1">
        <w:r w:rsidR="000361F4" w:rsidRPr="00D93585">
          <w:rPr>
            <w:rStyle w:val="Hyperlink"/>
            <w:rFonts w:ascii="Garamond" w:hAnsi="Garamond"/>
          </w:rPr>
          <w:t>http://media.texasfarmbureau.org/your-texas-agriculture-minute-210/</w:t>
        </w:r>
      </w:hyperlink>
      <w:r w:rsidR="001C384C" w:rsidRPr="00D93585">
        <w:rPr>
          <w:rFonts w:ascii="Garamond" w:hAnsi="Garamond"/>
        </w:rPr>
        <w:t>. Last accessed 9/27/18.</w:t>
      </w:r>
    </w:p>
    <w:p w14:paraId="51AC58B2" w14:textId="77777777" w:rsidR="001C384C" w:rsidRPr="00D93585" w:rsidRDefault="001C384C" w:rsidP="001C384C">
      <w:pPr>
        <w:rPr>
          <w:rFonts w:ascii="Garamond" w:hAnsi="Garamond"/>
        </w:rPr>
      </w:pPr>
    </w:p>
    <w:p w14:paraId="437BB4BB" w14:textId="4E0F9CF3" w:rsidR="00AC51C7" w:rsidRPr="00D93585" w:rsidRDefault="00AC51C7" w:rsidP="00AC51C7">
      <w:pPr>
        <w:rPr>
          <w:rFonts w:ascii="Garamond" w:hAnsi="Garamond"/>
        </w:rPr>
      </w:pPr>
      <w:r w:rsidRPr="00D93585">
        <w:rPr>
          <w:rFonts w:ascii="Garamond" w:hAnsi="Garamond"/>
        </w:rPr>
        <w:t>Texas Property Code Chapter 21</w:t>
      </w:r>
      <w:r w:rsidR="000361F4" w:rsidRPr="00D93585">
        <w:rPr>
          <w:rFonts w:ascii="Garamond" w:hAnsi="Garamond"/>
        </w:rPr>
        <w:t>:</w:t>
      </w:r>
      <w:r w:rsidRPr="00D93585">
        <w:rPr>
          <w:rFonts w:ascii="Garamond" w:hAnsi="Garamond"/>
        </w:rPr>
        <w:t xml:space="preserve"> Eminent Domain</w:t>
      </w:r>
    </w:p>
    <w:p w14:paraId="5B838E37" w14:textId="77777777" w:rsidR="001C384C" w:rsidRPr="00D93585" w:rsidRDefault="00213D5D" w:rsidP="001C384C">
      <w:pPr>
        <w:rPr>
          <w:rFonts w:ascii="Garamond" w:hAnsi="Garamond"/>
        </w:rPr>
      </w:pPr>
      <w:hyperlink r:id="rId18" w:history="1">
        <w:r w:rsidR="000361F4" w:rsidRPr="00D93585">
          <w:rPr>
            <w:rStyle w:val="Hyperlink"/>
            <w:rFonts w:ascii="Garamond" w:hAnsi="Garamond"/>
          </w:rPr>
          <w:t>https://statutes.capitol.texas.gov/Docs/PR/htm/PR.21.htm</w:t>
        </w:r>
      </w:hyperlink>
      <w:r w:rsidR="001C384C" w:rsidRPr="00D93585">
        <w:rPr>
          <w:rFonts w:ascii="Garamond" w:hAnsi="Garamond"/>
        </w:rPr>
        <w:t>. Last accessed 9/27/18.</w:t>
      </w:r>
    </w:p>
    <w:p w14:paraId="60F3BC94" w14:textId="77777777" w:rsidR="001C384C" w:rsidRPr="00D93585" w:rsidRDefault="001C384C" w:rsidP="001C384C">
      <w:pPr>
        <w:rPr>
          <w:rFonts w:ascii="Garamond" w:hAnsi="Garamond"/>
        </w:rPr>
      </w:pPr>
    </w:p>
    <w:p w14:paraId="683E13A5" w14:textId="33FDC6DE" w:rsidR="00B202FB" w:rsidRPr="00D93585" w:rsidRDefault="00B202FB" w:rsidP="00B202FB">
      <w:pPr>
        <w:rPr>
          <w:rFonts w:ascii="Garamond" w:hAnsi="Garamond"/>
        </w:rPr>
      </w:pPr>
      <w:r w:rsidRPr="00D93585">
        <w:rPr>
          <w:rFonts w:ascii="Garamond" w:hAnsi="Garamond"/>
        </w:rPr>
        <w:t>Texas Wildlife Association</w:t>
      </w:r>
      <w:r w:rsidR="000361F4" w:rsidRPr="00D93585">
        <w:rPr>
          <w:rFonts w:ascii="Garamond" w:hAnsi="Garamond"/>
        </w:rPr>
        <w:t xml:space="preserve">. “TWA </w:t>
      </w:r>
      <w:r w:rsidRPr="00D93585">
        <w:rPr>
          <w:rFonts w:ascii="Garamond" w:hAnsi="Garamond"/>
        </w:rPr>
        <w:t>Fact Sheet</w:t>
      </w:r>
      <w:r w:rsidR="000361F4" w:rsidRPr="00D93585">
        <w:rPr>
          <w:rFonts w:ascii="Garamond" w:hAnsi="Garamond"/>
        </w:rPr>
        <w:t>:</w:t>
      </w:r>
      <w:r w:rsidRPr="00D93585">
        <w:rPr>
          <w:rFonts w:ascii="Garamond" w:hAnsi="Garamond"/>
        </w:rPr>
        <w:t xml:space="preserve"> Eminent Domain</w:t>
      </w:r>
      <w:r w:rsidR="000361F4" w:rsidRPr="00D93585">
        <w:rPr>
          <w:rFonts w:ascii="Garamond" w:hAnsi="Garamond"/>
        </w:rPr>
        <w:t>”</w:t>
      </w:r>
    </w:p>
    <w:p w14:paraId="3F3A7C56" w14:textId="77777777" w:rsidR="001C384C" w:rsidRPr="00D93585" w:rsidRDefault="00213D5D" w:rsidP="001C384C">
      <w:pPr>
        <w:rPr>
          <w:rFonts w:ascii="Garamond" w:hAnsi="Garamond"/>
        </w:rPr>
      </w:pPr>
      <w:hyperlink r:id="rId19" w:history="1">
        <w:r w:rsidR="00B202FB" w:rsidRPr="00D93585">
          <w:rPr>
            <w:rStyle w:val="Hyperlink"/>
            <w:rFonts w:ascii="Garamond" w:hAnsi="Garamond"/>
          </w:rPr>
          <w:t>https://www.texas-wildlife.org/images/uploads/TWA_Fact_Sheet_on_Eminent_Domain.pdf</w:t>
        </w:r>
      </w:hyperlink>
      <w:r w:rsidR="001C384C" w:rsidRPr="00D93585">
        <w:rPr>
          <w:rFonts w:ascii="Garamond" w:hAnsi="Garamond"/>
        </w:rPr>
        <w:t>. Last accessed 9/27/18.</w:t>
      </w:r>
    </w:p>
    <w:p w14:paraId="41C0BA2C" w14:textId="77777777" w:rsidR="001C384C" w:rsidRPr="00D93585" w:rsidRDefault="001C384C" w:rsidP="001C384C">
      <w:pPr>
        <w:rPr>
          <w:rFonts w:ascii="Garamond" w:hAnsi="Garamond"/>
        </w:rPr>
      </w:pPr>
    </w:p>
    <w:p w14:paraId="4AB4E9BE" w14:textId="1E034B30" w:rsidR="00B202FB" w:rsidRPr="00D93585" w:rsidRDefault="00B202FB" w:rsidP="00B202FB">
      <w:pPr>
        <w:rPr>
          <w:rFonts w:ascii="Garamond" w:hAnsi="Garamond"/>
        </w:rPr>
      </w:pPr>
      <w:r w:rsidRPr="00D93585">
        <w:rPr>
          <w:rFonts w:ascii="Garamond" w:hAnsi="Garamond"/>
        </w:rPr>
        <w:t>Texas Wildlife Association</w:t>
      </w:r>
      <w:r w:rsidR="000361F4" w:rsidRPr="00D93585">
        <w:rPr>
          <w:rFonts w:ascii="Garamond" w:hAnsi="Garamond"/>
        </w:rPr>
        <w:t xml:space="preserve">. </w:t>
      </w:r>
      <w:r w:rsidRPr="00D93585">
        <w:rPr>
          <w:rFonts w:ascii="Garamond" w:hAnsi="Garamond"/>
        </w:rPr>
        <w:t xml:space="preserve"> </w:t>
      </w:r>
      <w:r w:rsidR="000361F4" w:rsidRPr="00D93585">
        <w:rPr>
          <w:rFonts w:ascii="Garamond" w:hAnsi="Garamond"/>
        </w:rPr>
        <w:t>“</w:t>
      </w:r>
      <w:r w:rsidRPr="00D93585">
        <w:rPr>
          <w:rFonts w:ascii="Garamond" w:hAnsi="Garamond"/>
        </w:rPr>
        <w:t>Position Statement on Eminent Domain and Condemnation</w:t>
      </w:r>
      <w:r w:rsidR="000361F4" w:rsidRPr="00D93585">
        <w:rPr>
          <w:rFonts w:ascii="Garamond" w:hAnsi="Garamond"/>
        </w:rPr>
        <w:t>.”</w:t>
      </w:r>
    </w:p>
    <w:p w14:paraId="01959F20" w14:textId="77777777" w:rsidR="001C384C" w:rsidRPr="00D93585" w:rsidRDefault="00213D5D" w:rsidP="001C384C">
      <w:pPr>
        <w:rPr>
          <w:rFonts w:ascii="Garamond" w:hAnsi="Garamond"/>
        </w:rPr>
      </w:pPr>
      <w:hyperlink r:id="rId20" w:history="1">
        <w:r w:rsidR="000361F4" w:rsidRPr="00D93585">
          <w:rPr>
            <w:rStyle w:val="Hyperlink"/>
            <w:rFonts w:ascii="Garamond" w:hAnsi="Garamond"/>
          </w:rPr>
          <w:t>https://www.texas-wildlife.org/program-areas/position-statement-on-eminent-domain-and-condemnation</w:t>
        </w:r>
      </w:hyperlink>
      <w:r w:rsidR="001C384C" w:rsidRPr="00D93585">
        <w:rPr>
          <w:rFonts w:ascii="Garamond" w:hAnsi="Garamond"/>
        </w:rPr>
        <w:t>. Last accessed 9/27/18.</w:t>
      </w:r>
    </w:p>
    <w:p w14:paraId="640638A8" w14:textId="77777777" w:rsidR="001C384C" w:rsidRDefault="001C384C" w:rsidP="001C384C"/>
    <w:p w14:paraId="63787BF8" w14:textId="19B2F60A" w:rsidR="00B202FB" w:rsidRDefault="00B202FB" w:rsidP="00B202FB"/>
    <w:p w14:paraId="427F99EF" w14:textId="77777777" w:rsidR="000361F4" w:rsidRPr="00B202FB" w:rsidRDefault="000361F4" w:rsidP="00B202FB"/>
    <w:sectPr w:rsidR="000361F4" w:rsidRPr="00B202FB" w:rsidSect="00D93585">
      <w:footerReference w:type="default" r:id="rId21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8CD3B" w14:textId="77777777" w:rsidR="00213D5D" w:rsidRDefault="00213D5D" w:rsidP="001C311D">
      <w:r>
        <w:separator/>
      </w:r>
    </w:p>
  </w:endnote>
  <w:endnote w:type="continuationSeparator" w:id="0">
    <w:p w14:paraId="0D5F626F" w14:textId="77777777" w:rsidR="00213D5D" w:rsidRDefault="00213D5D" w:rsidP="001C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437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0DA89B" w14:textId="77777777" w:rsidR="00213D5D" w:rsidRDefault="00213D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E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0A44E9" w14:textId="77777777" w:rsidR="00213D5D" w:rsidRDefault="00213D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46FD5" w14:textId="77777777" w:rsidR="00213D5D" w:rsidRDefault="00213D5D" w:rsidP="001C311D">
      <w:r>
        <w:separator/>
      </w:r>
    </w:p>
  </w:footnote>
  <w:footnote w:type="continuationSeparator" w:id="0">
    <w:p w14:paraId="51CEE9B6" w14:textId="77777777" w:rsidR="00213D5D" w:rsidRDefault="00213D5D" w:rsidP="001C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3EC1"/>
    <w:multiLevelType w:val="hybridMultilevel"/>
    <w:tmpl w:val="7A9E9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2CE"/>
    <w:multiLevelType w:val="multilevel"/>
    <w:tmpl w:val="FFF4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718B9"/>
    <w:multiLevelType w:val="hybridMultilevel"/>
    <w:tmpl w:val="8578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80CE7"/>
    <w:multiLevelType w:val="hybridMultilevel"/>
    <w:tmpl w:val="7BA26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94329"/>
    <w:multiLevelType w:val="hybridMultilevel"/>
    <w:tmpl w:val="70C0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85616"/>
    <w:multiLevelType w:val="hybridMultilevel"/>
    <w:tmpl w:val="96CA54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77986262"/>
    <w:multiLevelType w:val="hybridMultilevel"/>
    <w:tmpl w:val="33EA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E68"/>
    <w:rsid w:val="00012FEE"/>
    <w:rsid w:val="000361F4"/>
    <w:rsid w:val="000C2ACE"/>
    <w:rsid w:val="001C1BBC"/>
    <w:rsid w:val="001C311D"/>
    <w:rsid w:val="001C384C"/>
    <w:rsid w:val="00213D5D"/>
    <w:rsid w:val="002D24E1"/>
    <w:rsid w:val="002E3F1A"/>
    <w:rsid w:val="00361F23"/>
    <w:rsid w:val="0038297A"/>
    <w:rsid w:val="004A3E68"/>
    <w:rsid w:val="004F1A95"/>
    <w:rsid w:val="00530224"/>
    <w:rsid w:val="00531B52"/>
    <w:rsid w:val="00591055"/>
    <w:rsid w:val="005F49AC"/>
    <w:rsid w:val="00603B0E"/>
    <w:rsid w:val="0064790A"/>
    <w:rsid w:val="00691DA7"/>
    <w:rsid w:val="00784165"/>
    <w:rsid w:val="008B7200"/>
    <w:rsid w:val="008D3764"/>
    <w:rsid w:val="008D53AA"/>
    <w:rsid w:val="008F3351"/>
    <w:rsid w:val="009A0641"/>
    <w:rsid w:val="009C1552"/>
    <w:rsid w:val="00A23D4D"/>
    <w:rsid w:val="00A4778F"/>
    <w:rsid w:val="00A84A06"/>
    <w:rsid w:val="00AA7AEE"/>
    <w:rsid w:val="00AC3E05"/>
    <w:rsid w:val="00AC4AC5"/>
    <w:rsid w:val="00AC51C7"/>
    <w:rsid w:val="00AD7AA4"/>
    <w:rsid w:val="00B202FB"/>
    <w:rsid w:val="00B85190"/>
    <w:rsid w:val="00BE466C"/>
    <w:rsid w:val="00C120DC"/>
    <w:rsid w:val="00C34960"/>
    <w:rsid w:val="00C85218"/>
    <w:rsid w:val="00CD5554"/>
    <w:rsid w:val="00CF75CB"/>
    <w:rsid w:val="00D06F82"/>
    <w:rsid w:val="00D16B17"/>
    <w:rsid w:val="00D40476"/>
    <w:rsid w:val="00D505C8"/>
    <w:rsid w:val="00D55E81"/>
    <w:rsid w:val="00D93585"/>
    <w:rsid w:val="00E23021"/>
    <w:rsid w:val="00E30E20"/>
    <w:rsid w:val="00EB3E9A"/>
    <w:rsid w:val="00EE6DA6"/>
    <w:rsid w:val="00F05C1B"/>
    <w:rsid w:val="00F41957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82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41"/>
  </w:style>
  <w:style w:type="paragraph" w:styleId="Heading3">
    <w:name w:val="heading 3"/>
    <w:basedOn w:val="Normal"/>
    <w:link w:val="Heading3Char"/>
    <w:uiPriority w:val="9"/>
    <w:qFormat/>
    <w:rsid w:val="00AC5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96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1D"/>
  </w:style>
  <w:style w:type="paragraph" w:styleId="Footer">
    <w:name w:val="footer"/>
    <w:basedOn w:val="Normal"/>
    <w:link w:val="Foot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1D"/>
  </w:style>
  <w:style w:type="character" w:styleId="CommentReference">
    <w:name w:val="annotation reference"/>
    <w:basedOn w:val="DefaultParagraphFont"/>
    <w:uiPriority w:val="99"/>
    <w:semiHidden/>
    <w:unhideWhenUsed/>
    <w:rsid w:val="00CD5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F23"/>
  </w:style>
  <w:style w:type="character" w:customStyle="1" w:styleId="Heading3Char">
    <w:name w:val="Heading 3 Char"/>
    <w:basedOn w:val="DefaultParagraphFont"/>
    <w:link w:val="Heading3"/>
    <w:uiPriority w:val="9"/>
    <w:rsid w:val="00AC51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C51C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9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41"/>
  </w:style>
  <w:style w:type="paragraph" w:styleId="Heading3">
    <w:name w:val="heading 3"/>
    <w:basedOn w:val="Normal"/>
    <w:link w:val="Heading3Char"/>
    <w:uiPriority w:val="9"/>
    <w:qFormat/>
    <w:rsid w:val="00AC51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960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1D"/>
  </w:style>
  <w:style w:type="paragraph" w:styleId="Footer">
    <w:name w:val="footer"/>
    <w:basedOn w:val="Normal"/>
    <w:link w:val="FooterChar"/>
    <w:uiPriority w:val="99"/>
    <w:unhideWhenUsed/>
    <w:rsid w:val="001C3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1D"/>
  </w:style>
  <w:style w:type="character" w:styleId="CommentReference">
    <w:name w:val="annotation reference"/>
    <w:basedOn w:val="DefaultParagraphFont"/>
    <w:uiPriority w:val="99"/>
    <w:semiHidden/>
    <w:unhideWhenUsed/>
    <w:rsid w:val="00CD5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5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1F23"/>
  </w:style>
  <w:style w:type="character" w:customStyle="1" w:styleId="Heading3Char">
    <w:name w:val="Heading 3 Char"/>
    <w:basedOn w:val="DefaultParagraphFont"/>
    <w:link w:val="Heading3"/>
    <w:uiPriority w:val="9"/>
    <w:rsid w:val="00AC51C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C51C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02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4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ata.texas.gov/Government-and-Taxes/Eminent-Domain-Data/cvjb-eurw" TargetMode="External"/><Relationship Id="rId20" Type="http://schemas.openxmlformats.org/officeDocument/2006/relationships/hyperlink" Target="https://www.texas-wildlife.org/program-areas/position-statement-on-eminent-domain-and-condemnation" TargetMode="Externa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condemnation-law.com/texas-eminent-domain-attorney/" TargetMode="External"/><Relationship Id="rId11" Type="http://schemas.openxmlformats.org/officeDocument/2006/relationships/hyperlink" Target="https://static1.squarespace.com/static/56da0e71b654f9ca48a3c08e/t/5785643315d5dbb0fab26d56/1468359745385/How+Eminent+Domain+Abuse+is+Destroying+Texas%E2%80%99+Most+Valuable+Landscapes.pdf" TargetMode="External"/><Relationship Id="rId12" Type="http://schemas.openxmlformats.org/officeDocument/2006/relationships/hyperlink" Target="https://www.doi.gov/ocl/endangered-species-act" TargetMode="External"/><Relationship Id="rId13" Type="http://schemas.openxmlformats.org/officeDocument/2006/relationships/hyperlink" Target="https://www.texasattorneygeneral.gov/sites/default/files/files/divisions/general-oag/LandownersBillofRights.pdf" TargetMode="External"/><Relationship Id="rId14" Type="http://schemas.openxmlformats.org/officeDocument/2006/relationships/hyperlink" Target="http://www.texansforpropertyrights.com/resources/" TargetMode="External"/><Relationship Id="rId15" Type="http://schemas.openxmlformats.org/officeDocument/2006/relationships/hyperlink" Target="https://law.tamu.edu/prospective/academics/centers-clinics-programs/natural-resources/reports-publications/eminent-domain-law" TargetMode="External"/><Relationship Id="rId16" Type="http://schemas.openxmlformats.org/officeDocument/2006/relationships/hyperlink" Target="https://agrilife.org/texasaglaw/2014/03/17/eminent-domain-in-texas-part-1-what-is-it/" TargetMode="External"/><Relationship Id="rId17" Type="http://schemas.openxmlformats.org/officeDocument/2006/relationships/hyperlink" Target="http://media.texasfarmbureau.org/your-texas-agriculture-minute-210/" TargetMode="External"/><Relationship Id="rId18" Type="http://schemas.openxmlformats.org/officeDocument/2006/relationships/hyperlink" Target="https://statutes.capitol.texas.gov/Docs/PR/htm/PR.21.htm" TargetMode="External"/><Relationship Id="rId19" Type="http://schemas.openxmlformats.org/officeDocument/2006/relationships/hyperlink" Target="https://www.texas-wildlife.org/images/uploads/TWA_Fact_Sheet_on_Eminent_Domain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1559</Words>
  <Characters>8888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Jensie Madden</dc:creator>
  <cp:keywords/>
  <dc:description/>
  <cp:lastModifiedBy>Grace Chimene</cp:lastModifiedBy>
  <cp:revision>4</cp:revision>
  <dcterms:created xsi:type="dcterms:W3CDTF">2018-12-30T14:55:00Z</dcterms:created>
  <dcterms:modified xsi:type="dcterms:W3CDTF">2018-12-30T15:11:00Z</dcterms:modified>
</cp:coreProperties>
</file>